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9C" w:rsidRDefault="0079719C" w:rsidP="009B59D2">
      <w:pPr>
        <w:autoSpaceDE w:val="0"/>
        <w:autoSpaceDN w:val="0"/>
        <w:adjustRightInd w:val="0"/>
        <w:rPr>
          <w:b/>
        </w:rPr>
      </w:pPr>
    </w:p>
    <w:p w:rsidR="00C8343E" w:rsidRDefault="00C8343E" w:rsidP="009B59D2">
      <w:pPr>
        <w:autoSpaceDE w:val="0"/>
        <w:autoSpaceDN w:val="0"/>
        <w:adjustRightInd w:val="0"/>
        <w:rPr>
          <w:b/>
        </w:rPr>
      </w:pPr>
    </w:p>
    <w:p w:rsidR="00C8343E" w:rsidRDefault="00C8343E" w:rsidP="009B59D2">
      <w:pPr>
        <w:autoSpaceDE w:val="0"/>
        <w:autoSpaceDN w:val="0"/>
        <w:adjustRightInd w:val="0"/>
        <w:rPr>
          <w:b/>
        </w:rPr>
      </w:pPr>
    </w:p>
    <w:p w:rsidR="0079719C" w:rsidRDefault="0079719C" w:rsidP="009B59D2">
      <w:pPr>
        <w:autoSpaceDE w:val="0"/>
        <w:autoSpaceDN w:val="0"/>
        <w:adjustRightInd w:val="0"/>
        <w:rPr>
          <w:b/>
        </w:rPr>
      </w:pPr>
    </w:p>
    <w:p w:rsidR="009B59D2" w:rsidRPr="00BA74D4" w:rsidRDefault="009B59D2" w:rsidP="009B59D2">
      <w:pPr>
        <w:autoSpaceDE w:val="0"/>
        <w:autoSpaceDN w:val="0"/>
        <w:adjustRightInd w:val="0"/>
        <w:rPr>
          <w:b/>
        </w:rPr>
      </w:pPr>
      <w:r w:rsidRPr="00BA74D4">
        <w:rPr>
          <w:b/>
        </w:rPr>
        <w:t xml:space="preserve">To: </w:t>
      </w:r>
      <w:r w:rsidR="00BA74D4">
        <w:rPr>
          <w:b/>
        </w:rPr>
        <w:tab/>
      </w:r>
      <w:r w:rsidR="00BA74D4">
        <w:rPr>
          <w:b/>
        </w:rPr>
        <w:tab/>
      </w:r>
      <w:r w:rsidR="00BA74D4">
        <w:rPr>
          <w:b/>
        </w:rPr>
        <w:tab/>
      </w:r>
      <w:r w:rsidR="00BA74D4">
        <w:rPr>
          <w:b/>
        </w:rPr>
        <w:tab/>
      </w:r>
      <w:r w:rsidRPr="00BA74D4">
        <w:rPr>
          <w:b/>
        </w:rPr>
        <w:t>Housing Panel</w:t>
      </w:r>
    </w:p>
    <w:p w:rsidR="009B59D2" w:rsidRPr="00BA74D4" w:rsidRDefault="009B59D2" w:rsidP="009B59D2">
      <w:pPr>
        <w:autoSpaceDE w:val="0"/>
        <w:autoSpaceDN w:val="0"/>
        <w:adjustRightInd w:val="0"/>
        <w:rPr>
          <w:b/>
        </w:rPr>
      </w:pPr>
    </w:p>
    <w:p w:rsidR="009B59D2" w:rsidRPr="00BA74D4" w:rsidRDefault="009B59D2" w:rsidP="009B59D2">
      <w:pPr>
        <w:autoSpaceDE w:val="0"/>
        <w:autoSpaceDN w:val="0"/>
        <w:adjustRightInd w:val="0"/>
        <w:rPr>
          <w:b/>
        </w:rPr>
      </w:pPr>
      <w:r w:rsidRPr="00BA74D4">
        <w:rPr>
          <w:b/>
        </w:rPr>
        <w:t xml:space="preserve">Date: </w:t>
      </w:r>
      <w:r w:rsidR="00BA74D4">
        <w:rPr>
          <w:b/>
        </w:rPr>
        <w:tab/>
      </w:r>
      <w:r w:rsidR="00BA74D4">
        <w:rPr>
          <w:b/>
        </w:rPr>
        <w:tab/>
      </w:r>
      <w:r w:rsidR="00BA74D4">
        <w:rPr>
          <w:b/>
        </w:rPr>
        <w:tab/>
      </w:r>
      <w:r w:rsidR="00BA74D4">
        <w:rPr>
          <w:b/>
        </w:rPr>
        <w:tab/>
      </w:r>
      <w:r w:rsidR="005817FA">
        <w:rPr>
          <w:b/>
        </w:rPr>
        <w:t>8</w:t>
      </w:r>
      <w:r w:rsidRPr="00BA74D4">
        <w:rPr>
          <w:b/>
        </w:rPr>
        <w:t xml:space="preserve">th </w:t>
      </w:r>
      <w:r w:rsidR="005817FA">
        <w:rPr>
          <w:b/>
        </w:rPr>
        <w:t>April</w:t>
      </w:r>
      <w:r w:rsidRPr="00BA74D4">
        <w:rPr>
          <w:b/>
        </w:rPr>
        <w:t xml:space="preserve"> 201</w:t>
      </w:r>
      <w:r w:rsidR="009450E2">
        <w:rPr>
          <w:b/>
        </w:rPr>
        <w:t>9</w:t>
      </w:r>
    </w:p>
    <w:p w:rsidR="009B59D2" w:rsidRPr="00BA74D4" w:rsidRDefault="009B59D2" w:rsidP="009B59D2">
      <w:pPr>
        <w:autoSpaceDE w:val="0"/>
        <w:autoSpaceDN w:val="0"/>
        <w:adjustRightInd w:val="0"/>
        <w:rPr>
          <w:b/>
        </w:rPr>
      </w:pPr>
    </w:p>
    <w:p w:rsidR="009B59D2" w:rsidRPr="00BA74D4" w:rsidRDefault="009B59D2" w:rsidP="009B59D2">
      <w:pPr>
        <w:autoSpaceDE w:val="0"/>
        <w:autoSpaceDN w:val="0"/>
        <w:adjustRightInd w:val="0"/>
        <w:rPr>
          <w:b/>
        </w:rPr>
      </w:pPr>
      <w:r w:rsidRPr="00BA74D4">
        <w:rPr>
          <w:b/>
        </w:rPr>
        <w:t xml:space="preserve">Report of: </w:t>
      </w:r>
      <w:r w:rsidR="00BA74D4">
        <w:rPr>
          <w:b/>
        </w:rPr>
        <w:tab/>
      </w:r>
      <w:r w:rsidR="00BA74D4">
        <w:rPr>
          <w:b/>
        </w:rPr>
        <w:tab/>
      </w:r>
      <w:r w:rsidR="00BA74D4">
        <w:rPr>
          <w:b/>
        </w:rPr>
        <w:tab/>
      </w:r>
      <w:r w:rsidRPr="00BA74D4">
        <w:rPr>
          <w:b/>
        </w:rPr>
        <w:t>Head of Regulatory Services and Community Safety</w:t>
      </w:r>
    </w:p>
    <w:p w:rsidR="009B59D2" w:rsidRPr="00BA74D4" w:rsidRDefault="009B59D2" w:rsidP="009B59D2">
      <w:pPr>
        <w:autoSpaceDE w:val="0"/>
        <w:autoSpaceDN w:val="0"/>
        <w:adjustRightInd w:val="0"/>
        <w:rPr>
          <w:b/>
        </w:rPr>
      </w:pPr>
    </w:p>
    <w:p w:rsidR="009B59D2" w:rsidRPr="00BA74D4" w:rsidRDefault="009B59D2" w:rsidP="009B59D2">
      <w:pPr>
        <w:autoSpaceDE w:val="0"/>
        <w:autoSpaceDN w:val="0"/>
        <w:adjustRightInd w:val="0"/>
        <w:rPr>
          <w:b/>
        </w:rPr>
      </w:pPr>
      <w:r w:rsidRPr="00BA74D4">
        <w:rPr>
          <w:b/>
        </w:rPr>
        <w:t xml:space="preserve">Title of Report: </w:t>
      </w:r>
      <w:r w:rsidR="00BA74D4">
        <w:rPr>
          <w:b/>
        </w:rPr>
        <w:tab/>
      </w:r>
      <w:r w:rsidR="00BA74D4">
        <w:rPr>
          <w:b/>
        </w:rPr>
        <w:tab/>
      </w:r>
      <w:r w:rsidRPr="00BA74D4">
        <w:rPr>
          <w:b/>
        </w:rPr>
        <w:t>Building Control Enforcement</w:t>
      </w:r>
    </w:p>
    <w:p w:rsidR="009B59D2" w:rsidRDefault="009B59D2" w:rsidP="009B59D2">
      <w:pPr>
        <w:autoSpaceDE w:val="0"/>
        <w:autoSpaceDN w:val="0"/>
        <w:adjustRightInd w:val="0"/>
      </w:pPr>
    </w:p>
    <w:tbl>
      <w:tblPr>
        <w:tblStyle w:val="TableGrid"/>
        <w:tblW w:w="0" w:type="auto"/>
        <w:tblLook w:val="04A0" w:firstRow="1" w:lastRow="0" w:firstColumn="1" w:lastColumn="0" w:noHBand="0" w:noVBand="1"/>
      </w:tblPr>
      <w:tblGrid>
        <w:gridCol w:w="3510"/>
        <w:gridCol w:w="5732"/>
      </w:tblGrid>
      <w:tr w:rsidR="009B59D2" w:rsidTr="009B59D2">
        <w:tc>
          <w:tcPr>
            <w:tcW w:w="9242" w:type="dxa"/>
            <w:gridSpan w:val="2"/>
          </w:tcPr>
          <w:p w:rsidR="009B59D2" w:rsidRDefault="009B59D2" w:rsidP="00BA74D4">
            <w:pPr>
              <w:autoSpaceDE w:val="0"/>
              <w:autoSpaceDN w:val="0"/>
              <w:adjustRightInd w:val="0"/>
              <w:jc w:val="center"/>
            </w:pPr>
            <w:r w:rsidRPr="00BA74D4">
              <w:rPr>
                <w:b/>
              </w:rPr>
              <w:t>Summary and recommendations</w:t>
            </w:r>
          </w:p>
        </w:tc>
      </w:tr>
      <w:tr w:rsidR="00BA74D4" w:rsidTr="00BA74D4">
        <w:trPr>
          <w:trHeight w:val="54"/>
        </w:trPr>
        <w:tc>
          <w:tcPr>
            <w:tcW w:w="3510" w:type="dxa"/>
            <w:tcBorders>
              <w:bottom w:val="nil"/>
              <w:right w:val="nil"/>
            </w:tcBorders>
          </w:tcPr>
          <w:p w:rsidR="00BA74D4" w:rsidRPr="00BA74D4" w:rsidRDefault="00BA74D4" w:rsidP="009B59D2">
            <w:pPr>
              <w:autoSpaceDE w:val="0"/>
              <w:autoSpaceDN w:val="0"/>
              <w:adjustRightInd w:val="0"/>
              <w:rPr>
                <w:b/>
              </w:rPr>
            </w:pPr>
            <w:r w:rsidRPr="00BA74D4">
              <w:rPr>
                <w:b/>
              </w:rPr>
              <w:t>Purpose of report:</w:t>
            </w:r>
          </w:p>
        </w:tc>
        <w:tc>
          <w:tcPr>
            <w:tcW w:w="5732" w:type="dxa"/>
            <w:tcBorders>
              <w:left w:val="nil"/>
              <w:bottom w:val="nil"/>
            </w:tcBorders>
          </w:tcPr>
          <w:p w:rsidR="00BA74D4" w:rsidRDefault="00BA74D4" w:rsidP="00BA74D4">
            <w:pPr>
              <w:autoSpaceDE w:val="0"/>
              <w:autoSpaceDN w:val="0"/>
              <w:adjustRightInd w:val="0"/>
            </w:pPr>
            <w:r>
              <w:t>To inform the panel of the review</w:t>
            </w:r>
          </w:p>
          <w:p w:rsidR="00804B63" w:rsidRDefault="00804B63" w:rsidP="00BA74D4">
            <w:pPr>
              <w:autoSpaceDE w:val="0"/>
              <w:autoSpaceDN w:val="0"/>
              <w:adjustRightInd w:val="0"/>
            </w:pPr>
          </w:p>
        </w:tc>
      </w:tr>
      <w:tr w:rsidR="00BA74D4" w:rsidTr="00BA74D4">
        <w:trPr>
          <w:trHeight w:val="54"/>
        </w:trPr>
        <w:tc>
          <w:tcPr>
            <w:tcW w:w="3510" w:type="dxa"/>
            <w:tcBorders>
              <w:top w:val="nil"/>
              <w:bottom w:val="nil"/>
              <w:right w:val="nil"/>
            </w:tcBorders>
          </w:tcPr>
          <w:p w:rsidR="00BA74D4" w:rsidRPr="00BA74D4" w:rsidRDefault="00BA74D4" w:rsidP="009B59D2">
            <w:pPr>
              <w:autoSpaceDE w:val="0"/>
              <w:autoSpaceDN w:val="0"/>
              <w:adjustRightInd w:val="0"/>
              <w:rPr>
                <w:b/>
              </w:rPr>
            </w:pPr>
            <w:r w:rsidRPr="00BA74D4">
              <w:rPr>
                <w:b/>
              </w:rPr>
              <w:t>Key decision:</w:t>
            </w:r>
          </w:p>
        </w:tc>
        <w:tc>
          <w:tcPr>
            <w:tcW w:w="5732" w:type="dxa"/>
            <w:tcBorders>
              <w:top w:val="nil"/>
              <w:left w:val="nil"/>
              <w:bottom w:val="nil"/>
            </w:tcBorders>
          </w:tcPr>
          <w:p w:rsidR="00BA74D4" w:rsidRDefault="00BA74D4" w:rsidP="009B59D2">
            <w:pPr>
              <w:autoSpaceDE w:val="0"/>
              <w:autoSpaceDN w:val="0"/>
              <w:adjustRightInd w:val="0"/>
            </w:pPr>
            <w:r>
              <w:t>No</w:t>
            </w:r>
          </w:p>
          <w:p w:rsidR="00804B63" w:rsidRDefault="00804B63" w:rsidP="009B59D2">
            <w:pPr>
              <w:autoSpaceDE w:val="0"/>
              <w:autoSpaceDN w:val="0"/>
              <w:adjustRightInd w:val="0"/>
            </w:pPr>
          </w:p>
        </w:tc>
      </w:tr>
      <w:tr w:rsidR="00BA74D4" w:rsidTr="00BA74D4">
        <w:trPr>
          <w:trHeight w:val="54"/>
        </w:trPr>
        <w:tc>
          <w:tcPr>
            <w:tcW w:w="3510" w:type="dxa"/>
            <w:tcBorders>
              <w:top w:val="nil"/>
              <w:bottom w:val="nil"/>
              <w:right w:val="nil"/>
            </w:tcBorders>
          </w:tcPr>
          <w:p w:rsidR="00BA74D4" w:rsidRPr="00BA74D4" w:rsidRDefault="00BA74D4" w:rsidP="00BA74D4">
            <w:pPr>
              <w:autoSpaceDE w:val="0"/>
              <w:autoSpaceDN w:val="0"/>
              <w:adjustRightInd w:val="0"/>
              <w:rPr>
                <w:b/>
              </w:rPr>
            </w:pPr>
            <w:r w:rsidRPr="00BA74D4">
              <w:rPr>
                <w:b/>
              </w:rPr>
              <w:t>Executive Board Member:</w:t>
            </w:r>
          </w:p>
        </w:tc>
        <w:tc>
          <w:tcPr>
            <w:tcW w:w="5732" w:type="dxa"/>
            <w:tcBorders>
              <w:top w:val="nil"/>
              <w:left w:val="nil"/>
              <w:bottom w:val="nil"/>
            </w:tcBorders>
          </w:tcPr>
          <w:p w:rsidR="00BA74D4" w:rsidRDefault="00BA74D4" w:rsidP="009B59D2">
            <w:pPr>
              <w:autoSpaceDE w:val="0"/>
              <w:autoSpaceDN w:val="0"/>
              <w:adjustRightInd w:val="0"/>
            </w:pPr>
            <w:r>
              <w:t>Councillor Alex Hollingsworth</w:t>
            </w:r>
            <w:r w:rsidR="00804B63">
              <w:t>, Board Member for Planning and Transport</w:t>
            </w:r>
          </w:p>
          <w:p w:rsidR="00804B63" w:rsidRDefault="00804B63" w:rsidP="009B59D2">
            <w:pPr>
              <w:autoSpaceDE w:val="0"/>
              <w:autoSpaceDN w:val="0"/>
              <w:adjustRightInd w:val="0"/>
            </w:pPr>
          </w:p>
        </w:tc>
      </w:tr>
      <w:tr w:rsidR="00BA74D4" w:rsidTr="00BA74D4">
        <w:trPr>
          <w:trHeight w:val="54"/>
        </w:trPr>
        <w:tc>
          <w:tcPr>
            <w:tcW w:w="3510" w:type="dxa"/>
            <w:tcBorders>
              <w:top w:val="nil"/>
              <w:bottom w:val="nil"/>
              <w:right w:val="nil"/>
            </w:tcBorders>
          </w:tcPr>
          <w:p w:rsidR="00BA74D4" w:rsidRPr="00BA74D4" w:rsidRDefault="00BA74D4" w:rsidP="00BA74D4">
            <w:pPr>
              <w:autoSpaceDE w:val="0"/>
              <w:autoSpaceDN w:val="0"/>
              <w:adjustRightInd w:val="0"/>
              <w:rPr>
                <w:b/>
              </w:rPr>
            </w:pPr>
            <w:r w:rsidRPr="00BA74D4">
              <w:rPr>
                <w:b/>
              </w:rPr>
              <w:t>Corporate Priority:</w:t>
            </w:r>
          </w:p>
        </w:tc>
        <w:tc>
          <w:tcPr>
            <w:tcW w:w="5732" w:type="dxa"/>
            <w:tcBorders>
              <w:top w:val="nil"/>
              <w:left w:val="nil"/>
              <w:bottom w:val="nil"/>
            </w:tcBorders>
          </w:tcPr>
          <w:p w:rsidR="00BA74D4" w:rsidRDefault="009450E2" w:rsidP="009B59D2">
            <w:pPr>
              <w:autoSpaceDE w:val="0"/>
              <w:autoSpaceDN w:val="0"/>
              <w:adjustRightInd w:val="0"/>
            </w:pPr>
            <w:r>
              <w:t>Efficient and Effective Council</w:t>
            </w:r>
          </w:p>
          <w:p w:rsidR="00804B63" w:rsidRDefault="00804B63" w:rsidP="009B59D2">
            <w:pPr>
              <w:autoSpaceDE w:val="0"/>
              <w:autoSpaceDN w:val="0"/>
              <w:adjustRightInd w:val="0"/>
            </w:pPr>
          </w:p>
        </w:tc>
      </w:tr>
      <w:tr w:rsidR="00BA74D4" w:rsidTr="00BA74D4">
        <w:trPr>
          <w:trHeight w:val="54"/>
        </w:trPr>
        <w:tc>
          <w:tcPr>
            <w:tcW w:w="3510" w:type="dxa"/>
            <w:tcBorders>
              <w:top w:val="nil"/>
              <w:bottom w:val="single" w:sz="4" w:space="0" w:color="auto"/>
              <w:right w:val="nil"/>
            </w:tcBorders>
          </w:tcPr>
          <w:p w:rsidR="00BA74D4" w:rsidRPr="00BA74D4" w:rsidRDefault="00BA74D4" w:rsidP="00BA74D4">
            <w:pPr>
              <w:autoSpaceDE w:val="0"/>
              <w:autoSpaceDN w:val="0"/>
              <w:adjustRightInd w:val="0"/>
              <w:rPr>
                <w:b/>
              </w:rPr>
            </w:pPr>
            <w:r w:rsidRPr="00BA74D4">
              <w:rPr>
                <w:b/>
              </w:rPr>
              <w:t>Policy Framework:</w:t>
            </w:r>
          </w:p>
        </w:tc>
        <w:tc>
          <w:tcPr>
            <w:tcW w:w="5732" w:type="dxa"/>
            <w:tcBorders>
              <w:top w:val="nil"/>
              <w:left w:val="nil"/>
            </w:tcBorders>
          </w:tcPr>
          <w:p w:rsidR="00BA74D4" w:rsidRDefault="009450E2" w:rsidP="009B59D2">
            <w:pPr>
              <w:autoSpaceDE w:val="0"/>
              <w:autoSpaceDN w:val="0"/>
              <w:adjustRightInd w:val="0"/>
            </w:pPr>
            <w:r>
              <w:t xml:space="preserve">Corporate Enforcement Policy </w:t>
            </w:r>
          </w:p>
        </w:tc>
      </w:tr>
      <w:tr w:rsidR="00BA74D4" w:rsidTr="00BA74D4">
        <w:tc>
          <w:tcPr>
            <w:tcW w:w="3510" w:type="dxa"/>
            <w:tcBorders>
              <w:right w:val="nil"/>
            </w:tcBorders>
          </w:tcPr>
          <w:p w:rsidR="00BA74D4" w:rsidRPr="00BA74D4" w:rsidRDefault="00BA74D4" w:rsidP="00BA74D4">
            <w:pPr>
              <w:autoSpaceDE w:val="0"/>
              <w:autoSpaceDN w:val="0"/>
              <w:adjustRightInd w:val="0"/>
              <w:rPr>
                <w:b/>
              </w:rPr>
            </w:pPr>
            <w:r w:rsidRPr="00BA74D4">
              <w:rPr>
                <w:b/>
              </w:rPr>
              <w:t xml:space="preserve">Recommendation: </w:t>
            </w:r>
          </w:p>
          <w:p w:rsidR="00BA74D4" w:rsidRDefault="00BA74D4" w:rsidP="00BA74D4">
            <w:pPr>
              <w:autoSpaceDE w:val="0"/>
              <w:autoSpaceDN w:val="0"/>
              <w:adjustRightInd w:val="0"/>
            </w:pPr>
          </w:p>
        </w:tc>
        <w:tc>
          <w:tcPr>
            <w:tcW w:w="5732" w:type="dxa"/>
            <w:tcBorders>
              <w:left w:val="nil"/>
            </w:tcBorders>
          </w:tcPr>
          <w:p w:rsidR="00BA74D4" w:rsidRDefault="00BA74D4" w:rsidP="00BA74D4">
            <w:pPr>
              <w:autoSpaceDE w:val="0"/>
              <w:autoSpaceDN w:val="0"/>
              <w:adjustRightInd w:val="0"/>
            </w:pPr>
            <w:r>
              <w:t xml:space="preserve">That </w:t>
            </w:r>
            <w:r w:rsidR="009450E2">
              <w:t xml:space="preserve">the </w:t>
            </w:r>
            <w:r>
              <w:t>Housing Panel resolves to note the outcome of the review</w:t>
            </w:r>
          </w:p>
          <w:p w:rsidR="00BA74D4" w:rsidRDefault="00BA74D4" w:rsidP="00BA74D4">
            <w:pPr>
              <w:autoSpaceDE w:val="0"/>
              <w:autoSpaceDN w:val="0"/>
              <w:adjustRightInd w:val="0"/>
            </w:pPr>
          </w:p>
        </w:tc>
      </w:tr>
    </w:tbl>
    <w:p w:rsidR="009B59D2" w:rsidRDefault="009B59D2" w:rsidP="009B59D2">
      <w:pPr>
        <w:autoSpaceDE w:val="0"/>
        <w:autoSpaceDN w:val="0"/>
        <w:adjustRightInd w:val="0"/>
      </w:pPr>
    </w:p>
    <w:tbl>
      <w:tblPr>
        <w:tblStyle w:val="TableGrid"/>
        <w:tblW w:w="0" w:type="auto"/>
        <w:tblLook w:val="04A0" w:firstRow="1" w:lastRow="0" w:firstColumn="1" w:lastColumn="0" w:noHBand="0" w:noVBand="1"/>
      </w:tblPr>
      <w:tblGrid>
        <w:gridCol w:w="9242"/>
      </w:tblGrid>
      <w:tr w:rsidR="009B59D2" w:rsidTr="009B59D2">
        <w:tc>
          <w:tcPr>
            <w:tcW w:w="9242" w:type="dxa"/>
          </w:tcPr>
          <w:p w:rsidR="009B59D2" w:rsidRPr="00542A81" w:rsidRDefault="00BA74D4" w:rsidP="00542A81">
            <w:pPr>
              <w:autoSpaceDE w:val="0"/>
              <w:autoSpaceDN w:val="0"/>
              <w:adjustRightInd w:val="0"/>
              <w:jc w:val="center"/>
              <w:rPr>
                <w:b/>
              </w:rPr>
            </w:pPr>
            <w:r w:rsidRPr="00542A81">
              <w:rPr>
                <w:b/>
              </w:rPr>
              <w:t>Appendices</w:t>
            </w:r>
          </w:p>
        </w:tc>
      </w:tr>
      <w:tr w:rsidR="009B59D2" w:rsidTr="009B59D2">
        <w:tc>
          <w:tcPr>
            <w:tcW w:w="9242" w:type="dxa"/>
          </w:tcPr>
          <w:p w:rsidR="009B59D2" w:rsidRDefault="0079719C" w:rsidP="009B59D2">
            <w:pPr>
              <w:autoSpaceDE w:val="0"/>
              <w:autoSpaceDN w:val="0"/>
              <w:adjustRightInd w:val="0"/>
            </w:pPr>
            <w:r>
              <w:t xml:space="preserve">None </w:t>
            </w:r>
          </w:p>
        </w:tc>
      </w:tr>
    </w:tbl>
    <w:p w:rsidR="00BA74D4" w:rsidRDefault="00BA74D4" w:rsidP="005D2CC5">
      <w:pPr>
        <w:autoSpaceDE w:val="0"/>
        <w:autoSpaceDN w:val="0"/>
        <w:adjustRightInd w:val="0"/>
      </w:pPr>
    </w:p>
    <w:p w:rsidR="003B6FC4" w:rsidRPr="00542A81" w:rsidRDefault="008B7E0A" w:rsidP="005D2CC5">
      <w:pPr>
        <w:autoSpaceDE w:val="0"/>
        <w:autoSpaceDN w:val="0"/>
        <w:adjustRightInd w:val="0"/>
        <w:rPr>
          <w:b/>
        </w:rPr>
      </w:pPr>
      <w:r>
        <w:rPr>
          <w:b/>
        </w:rPr>
        <w:t xml:space="preserve">1.0 </w:t>
      </w:r>
      <w:r w:rsidR="003B6FC4" w:rsidRPr="00542A81">
        <w:rPr>
          <w:b/>
        </w:rPr>
        <w:t>Introduction</w:t>
      </w:r>
    </w:p>
    <w:p w:rsidR="003B6FC4" w:rsidRDefault="003B6FC4" w:rsidP="005D2CC5">
      <w:pPr>
        <w:autoSpaceDE w:val="0"/>
        <w:autoSpaceDN w:val="0"/>
        <w:adjustRightInd w:val="0"/>
      </w:pPr>
    </w:p>
    <w:p w:rsidR="005D2CC5" w:rsidRDefault="008B7E0A" w:rsidP="005D2CC5">
      <w:pPr>
        <w:autoSpaceDE w:val="0"/>
        <w:autoSpaceDN w:val="0"/>
        <w:adjustRightInd w:val="0"/>
      </w:pPr>
      <w:r>
        <w:t xml:space="preserve">1.1 </w:t>
      </w:r>
      <w:r w:rsidR="00AF2372">
        <w:t xml:space="preserve">The </w:t>
      </w:r>
      <w:r w:rsidR="005D2CC5">
        <w:t>Building Control</w:t>
      </w:r>
      <w:r w:rsidR="00AF2372">
        <w:t xml:space="preserve"> </w:t>
      </w:r>
      <w:r w:rsidR="00247656">
        <w:t>function is</w:t>
      </w:r>
      <w:r w:rsidR="005D2CC5" w:rsidRPr="006B744F">
        <w:t xml:space="preserve"> the process by which the Building Regulations</w:t>
      </w:r>
      <w:r w:rsidR="00276B6A">
        <w:t xml:space="preserve"> 2010</w:t>
      </w:r>
      <w:r w:rsidR="005D2CC5" w:rsidRPr="006B744F">
        <w:t xml:space="preserve"> as set down</w:t>
      </w:r>
      <w:r w:rsidR="005D2CC5">
        <w:t xml:space="preserve"> </w:t>
      </w:r>
      <w:r w:rsidR="005D2CC5" w:rsidRPr="006B744F">
        <w:t>by the Department for Communities and Local Government are enforced. They are a</w:t>
      </w:r>
      <w:r w:rsidR="005D2CC5">
        <w:t xml:space="preserve"> </w:t>
      </w:r>
      <w:r w:rsidR="005D2CC5" w:rsidRPr="006B744F">
        <w:t xml:space="preserve">set of standards </w:t>
      </w:r>
      <w:r w:rsidR="007B2DEE">
        <w:t>as set out by the Building Act 1884 with regard to</w:t>
      </w:r>
      <w:r w:rsidR="005D2CC5" w:rsidRPr="006B744F">
        <w:t xml:space="preserve"> the design and construction of buildings primarily established to</w:t>
      </w:r>
      <w:r w:rsidR="005D2CC5">
        <w:t xml:space="preserve"> </w:t>
      </w:r>
      <w:r w:rsidR="005D2CC5" w:rsidRPr="006B744F">
        <w:t xml:space="preserve">ensure the safety </w:t>
      </w:r>
      <w:r w:rsidR="005D2CC5">
        <w:t xml:space="preserve">and access </w:t>
      </w:r>
      <w:r w:rsidR="005D2CC5" w:rsidRPr="006B744F">
        <w:t>of those people who use the buildings through regulations for fire,</w:t>
      </w:r>
      <w:r w:rsidR="005D2CC5">
        <w:t xml:space="preserve"> </w:t>
      </w:r>
      <w:r w:rsidR="00247656">
        <w:t xml:space="preserve">electrical, </w:t>
      </w:r>
      <w:r w:rsidR="005D2CC5" w:rsidRPr="006B744F">
        <w:t>structural safety</w:t>
      </w:r>
      <w:r w:rsidR="00247656">
        <w:t xml:space="preserve"> and energy efficiency</w:t>
      </w:r>
      <w:r w:rsidR="005D2CC5" w:rsidRPr="006B744F">
        <w:t>.</w:t>
      </w:r>
    </w:p>
    <w:p w:rsidR="008A22C6" w:rsidRDefault="008A22C6" w:rsidP="008A22C6"/>
    <w:p w:rsidR="00454337" w:rsidRDefault="008B7E0A" w:rsidP="00BA74D4">
      <w:pPr>
        <w:autoSpaceDE w:val="0"/>
        <w:autoSpaceDN w:val="0"/>
        <w:adjustRightInd w:val="0"/>
      </w:pPr>
      <w:r>
        <w:t xml:space="preserve">1.2 </w:t>
      </w:r>
      <w:r w:rsidR="005D2CC5" w:rsidRPr="006B744F">
        <w:t>Historically the Local Authority</w:t>
      </w:r>
      <w:r w:rsidR="005D2CC5">
        <w:t xml:space="preserve"> Building Control </w:t>
      </w:r>
      <w:r w:rsidR="00845619">
        <w:t xml:space="preserve">(LABC) </w:t>
      </w:r>
      <w:r w:rsidR="005D2CC5">
        <w:t xml:space="preserve">body </w:t>
      </w:r>
      <w:r w:rsidR="005D2CC5" w:rsidRPr="006B744F">
        <w:t>performed</w:t>
      </w:r>
      <w:r w:rsidR="005D2CC5">
        <w:t xml:space="preserve"> this function exclusively</w:t>
      </w:r>
      <w:r w:rsidR="00845619">
        <w:t xml:space="preserve"> until</w:t>
      </w:r>
      <w:r w:rsidR="00542A81">
        <w:t xml:space="preserve"> t</w:t>
      </w:r>
      <w:r w:rsidR="006A0E0D" w:rsidRPr="006A0E0D">
        <w:t xml:space="preserve">he partial privatisation of the </w:t>
      </w:r>
      <w:r w:rsidR="00845619">
        <w:t xml:space="preserve">Building Control </w:t>
      </w:r>
      <w:r w:rsidR="006A0E0D" w:rsidRPr="006A0E0D">
        <w:t>sector in</w:t>
      </w:r>
      <w:r w:rsidR="00845619">
        <w:t xml:space="preserve"> 1985, which created the first Approved I</w:t>
      </w:r>
      <w:r w:rsidR="00845619" w:rsidRPr="006A0E0D">
        <w:t xml:space="preserve">nspector </w:t>
      </w:r>
      <w:r w:rsidR="00845619">
        <w:t xml:space="preserve">(AI) </w:t>
      </w:r>
      <w:r w:rsidR="006A0E0D" w:rsidRPr="006A0E0D">
        <w:t xml:space="preserve">body, </w:t>
      </w:r>
      <w:r w:rsidR="00AA7D6C">
        <w:t xml:space="preserve">that the </w:t>
      </w:r>
      <w:r w:rsidR="00D80F81">
        <w:t>NHBC</w:t>
      </w:r>
      <w:r w:rsidR="00AA7D6C">
        <w:t xml:space="preserve"> </w:t>
      </w:r>
      <w:r w:rsidR="006A0E0D" w:rsidRPr="006A0E0D">
        <w:t>in</w:t>
      </w:r>
      <w:r w:rsidR="00AA7D6C">
        <w:t>troduced</w:t>
      </w:r>
      <w:r w:rsidR="006A0E0D" w:rsidRPr="006A0E0D">
        <w:t xml:space="preserve"> </w:t>
      </w:r>
      <w:r w:rsidR="00845619">
        <w:t xml:space="preserve">resulting in </w:t>
      </w:r>
      <w:r w:rsidR="00AA7D6C">
        <w:t xml:space="preserve">direct </w:t>
      </w:r>
      <w:r w:rsidR="00845619">
        <w:t xml:space="preserve">commercial </w:t>
      </w:r>
      <w:r w:rsidR="006A0E0D" w:rsidRPr="006A0E0D">
        <w:t xml:space="preserve">competition between public and private regulators. </w:t>
      </w:r>
      <w:r w:rsidR="00AA7D6C">
        <w:t>The aim of introducing private AI’</w:t>
      </w:r>
      <w:r w:rsidR="006A0E0D" w:rsidRPr="006A0E0D">
        <w:t>s</w:t>
      </w:r>
      <w:r w:rsidR="00845619">
        <w:t xml:space="preserve"> was only </w:t>
      </w:r>
      <w:r w:rsidR="006A0E0D" w:rsidRPr="006A0E0D">
        <w:t xml:space="preserve">initially only for residential </w:t>
      </w:r>
      <w:r w:rsidR="00AA7D6C">
        <w:t xml:space="preserve">applications </w:t>
      </w:r>
      <w:r w:rsidR="006A0E0D" w:rsidRPr="006A0E0D">
        <w:t xml:space="preserve">but since April 2013 </w:t>
      </w:r>
      <w:r w:rsidR="00AA7D6C">
        <w:t xml:space="preserve">this has progressed to </w:t>
      </w:r>
      <w:r w:rsidR="006A0E0D" w:rsidRPr="006A0E0D">
        <w:t xml:space="preserve">covering all </w:t>
      </w:r>
      <w:r w:rsidR="00AA7D6C">
        <w:t xml:space="preserve">types of </w:t>
      </w:r>
      <w:r w:rsidR="006A0E0D" w:rsidRPr="006A0E0D">
        <w:t xml:space="preserve">building work </w:t>
      </w:r>
      <w:r w:rsidR="00AA7D6C">
        <w:t xml:space="preserve">e.g. commercial applications </w:t>
      </w:r>
      <w:r w:rsidR="006A0E0D" w:rsidRPr="006A0E0D">
        <w:t>to inject more commercial awareness and customer focus</w:t>
      </w:r>
      <w:r w:rsidR="00AA7D6C">
        <w:t xml:space="preserve"> within the industry</w:t>
      </w:r>
      <w:r w:rsidR="006A0E0D" w:rsidRPr="006A0E0D">
        <w:t>.</w:t>
      </w:r>
      <w:r w:rsidR="009B5E51">
        <w:t xml:space="preserve"> </w:t>
      </w:r>
      <w:r w:rsidR="00AA7D6C">
        <w:t>Ho</w:t>
      </w:r>
      <w:r w:rsidR="00D80F81">
        <w:t>wever, the AI does not possess any</w:t>
      </w:r>
      <w:r w:rsidR="009B5E51">
        <w:t xml:space="preserve"> enforcement powers</w:t>
      </w:r>
      <w:r w:rsidR="00D80F81">
        <w:t xml:space="preserve"> therefore, the AI must </w:t>
      </w:r>
      <w:r w:rsidR="00AA7D6C">
        <w:t>forma</w:t>
      </w:r>
      <w:r w:rsidR="00D80F81">
        <w:t xml:space="preserve">lly revert the application </w:t>
      </w:r>
      <w:r w:rsidR="00AA7D6C">
        <w:t>to the Local Authority should enforcement action be required</w:t>
      </w:r>
      <w:r w:rsidR="009B5E51">
        <w:t xml:space="preserve">. </w:t>
      </w:r>
    </w:p>
    <w:p w:rsidR="002D17DB" w:rsidRDefault="002D17DB" w:rsidP="00454337"/>
    <w:p w:rsidR="002D17DB" w:rsidRDefault="008B7E0A" w:rsidP="00454337">
      <w:r>
        <w:lastRenderedPageBreak/>
        <w:t xml:space="preserve">1.3 </w:t>
      </w:r>
      <w:r w:rsidR="002D17DB" w:rsidRPr="002D17DB">
        <w:t xml:space="preserve">The Building Control Service also performs </w:t>
      </w:r>
      <w:r w:rsidR="00542A81">
        <w:t xml:space="preserve">other </w:t>
      </w:r>
      <w:r w:rsidR="00276B6A">
        <w:t xml:space="preserve">statutory enforcement duties </w:t>
      </w:r>
      <w:r w:rsidR="002D17DB" w:rsidRPr="002D17DB">
        <w:t>under Building Act 1984 legisla</w:t>
      </w:r>
      <w:r w:rsidR="00276B6A">
        <w:t>tion, designed to protect persons in or around buildings</w:t>
      </w:r>
      <w:r w:rsidR="002D17DB">
        <w:t xml:space="preserve"> from dangerous structures </w:t>
      </w:r>
      <w:r w:rsidR="002D17DB" w:rsidRPr="002D17DB">
        <w:t>and</w:t>
      </w:r>
      <w:r w:rsidR="00870755">
        <w:t xml:space="preserve"> also </w:t>
      </w:r>
      <w:r w:rsidR="002D17DB" w:rsidRPr="002D17DB">
        <w:t>regulat</w:t>
      </w:r>
      <w:r w:rsidR="00870755">
        <w:t>es</w:t>
      </w:r>
      <w:r w:rsidR="002D17DB" w:rsidRPr="002D17DB">
        <w:t xml:space="preserve"> demolition processes.</w:t>
      </w:r>
    </w:p>
    <w:p w:rsidR="00C8343E" w:rsidRDefault="00C8343E" w:rsidP="00454337"/>
    <w:p w:rsidR="00877331" w:rsidRPr="00877331" w:rsidRDefault="008B7E0A" w:rsidP="00454337">
      <w:pPr>
        <w:rPr>
          <w:b/>
        </w:rPr>
      </w:pPr>
      <w:r>
        <w:rPr>
          <w:b/>
        </w:rPr>
        <w:t xml:space="preserve">2.0 </w:t>
      </w:r>
      <w:r w:rsidR="00877331" w:rsidRPr="00877331">
        <w:rPr>
          <w:b/>
        </w:rPr>
        <w:t xml:space="preserve">Enforcement powers </w:t>
      </w:r>
    </w:p>
    <w:p w:rsidR="00877331" w:rsidRDefault="00877331" w:rsidP="00454337"/>
    <w:p w:rsidR="00877331" w:rsidRDefault="008B7E0A" w:rsidP="00454337">
      <w:r>
        <w:t xml:space="preserve">2.1 </w:t>
      </w:r>
      <w:r w:rsidR="00276B6A">
        <w:t>A Local A</w:t>
      </w:r>
      <w:r w:rsidR="00877331" w:rsidRPr="00877331">
        <w:t>uthority has</w:t>
      </w:r>
      <w:r w:rsidR="00276B6A">
        <w:t xml:space="preserve"> a general duty to enforce the Building R</w:t>
      </w:r>
      <w:r w:rsidR="00877331">
        <w:t xml:space="preserve">egulations </w:t>
      </w:r>
      <w:r w:rsidR="00276B6A">
        <w:t>with</w:t>
      </w:r>
      <w:r w:rsidR="00877331">
        <w:t xml:space="preserve">in its </w:t>
      </w:r>
      <w:r w:rsidR="00276B6A">
        <w:t xml:space="preserve">geographical </w:t>
      </w:r>
      <w:r w:rsidR="00877331">
        <w:t>area and there are a nu</w:t>
      </w:r>
      <w:r w:rsidR="00276B6A">
        <w:t>mber of powers that they can implement</w:t>
      </w:r>
      <w:r w:rsidR="00877331">
        <w:t xml:space="preserve"> to secure compliance. </w:t>
      </w:r>
    </w:p>
    <w:p w:rsidR="00877331" w:rsidRDefault="00877331" w:rsidP="00454337"/>
    <w:p w:rsidR="00877331" w:rsidRDefault="008B7E0A" w:rsidP="00877331">
      <w:r>
        <w:t xml:space="preserve">2.2 </w:t>
      </w:r>
      <w:r w:rsidR="00877331">
        <w:t xml:space="preserve">If </w:t>
      </w:r>
      <w:r w:rsidR="00276B6A">
        <w:t xml:space="preserve">it is evidenced </w:t>
      </w:r>
      <w:r w:rsidR="00877331">
        <w:t xml:space="preserve">a person carrying out building work </w:t>
      </w:r>
      <w:r w:rsidR="003269B4">
        <w:t xml:space="preserve">that </w:t>
      </w:r>
      <w:r w:rsidR="00877331">
        <w:t>contravenes</w:t>
      </w:r>
      <w:r w:rsidR="005B016B">
        <w:t xml:space="preserve"> the </w:t>
      </w:r>
      <w:r w:rsidR="003269B4">
        <w:t xml:space="preserve">current </w:t>
      </w:r>
      <w:r w:rsidR="005B016B">
        <w:t>Building Regulations, the Local A</w:t>
      </w:r>
      <w:r w:rsidR="00877331">
        <w:t xml:space="preserve">uthority may </w:t>
      </w:r>
      <w:r w:rsidR="005B016B">
        <w:t>take the necessary enforcement action and ultimately prosecute the offender in the Magistrates</w:t>
      </w:r>
      <w:r w:rsidR="00877331">
        <w:t xml:space="preserve"> Court where </w:t>
      </w:r>
      <w:r w:rsidR="003269B4">
        <w:t xml:space="preserve">summary conviction to a fine not exceeding Level 5 on the standard scale and to a further fine not exceeding £50.00 for each day on which the default continues after conviction. </w:t>
      </w:r>
      <w:r w:rsidR="003269B4" w:rsidRPr="003269B4">
        <w:rPr>
          <w:color w:val="FF0000"/>
        </w:rPr>
        <w:t xml:space="preserve"> </w:t>
      </w:r>
      <w:proofErr w:type="gramStart"/>
      <w:r w:rsidR="003269B4">
        <w:t>(Section 35 and 35A of</w:t>
      </w:r>
      <w:r w:rsidR="00877331">
        <w:t xml:space="preserve"> the Building Ac</w:t>
      </w:r>
      <w:r w:rsidR="003269B4">
        <w:t>t 1984).</w:t>
      </w:r>
      <w:proofErr w:type="gramEnd"/>
      <w:r w:rsidR="003269B4">
        <w:t xml:space="preserve"> </w:t>
      </w:r>
      <w:r w:rsidR="005668EA">
        <w:t>In addition, p</w:t>
      </w:r>
      <w:r w:rsidR="003269B4">
        <w:t xml:space="preserve">rosecution is an available </w:t>
      </w:r>
      <w:r w:rsidR="005668EA">
        <w:t xml:space="preserve">action to the Council </w:t>
      </w:r>
      <w:r w:rsidR="00877331">
        <w:t>up to two years after the completion of the offending work. This action will usually be taken against the</w:t>
      </w:r>
      <w:r w:rsidR="005668EA">
        <w:t xml:space="preserve"> person carrying out the work (B</w:t>
      </w:r>
      <w:r w:rsidR="00877331">
        <w:t>uilder, installer or main contractor).</w:t>
      </w:r>
    </w:p>
    <w:p w:rsidR="00877331" w:rsidRDefault="00877331" w:rsidP="00877331"/>
    <w:p w:rsidR="00877331" w:rsidRDefault="008B7E0A" w:rsidP="00877331">
      <w:r>
        <w:t xml:space="preserve">2.3 </w:t>
      </w:r>
      <w:r w:rsidR="00877331">
        <w:t>Alte</w:t>
      </w:r>
      <w:r w:rsidR="003269B4">
        <w:t>rnatively, or in addition, the Local A</w:t>
      </w:r>
      <w:r w:rsidR="00877331">
        <w:t xml:space="preserve">uthority may serve an enforcement notice on the building owner </w:t>
      </w:r>
      <w:r w:rsidR="003269B4">
        <w:t xml:space="preserve">(The Applicant) </w:t>
      </w:r>
      <w:r w:rsidR="00877331">
        <w:t>requiring alteration or removal</w:t>
      </w:r>
      <w:r w:rsidR="003269B4">
        <w:t xml:space="preserve"> of work which contravenes the Regulations (S</w:t>
      </w:r>
      <w:r w:rsidR="00877331">
        <w:t xml:space="preserve">ection 36 of the </w:t>
      </w:r>
      <w:r w:rsidR="006774D9">
        <w:t xml:space="preserve">Building </w:t>
      </w:r>
      <w:r w:rsidR="00877331">
        <w:t>Act</w:t>
      </w:r>
      <w:r w:rsidR="006774D9">
        <w:t xml:space="preserve"> 1984)</w:t>
      </w:r>
      <w:r w:rsidR="00877331">
        <w:t>. If the owner does not comply with the notice</w:t>
      </w:r>
      <w:r w:rsidR="003269B4">
        <w:t xml:space="preserve"> the Local A</w:t>
      </w:r>
      <w:r w:rsidR="00877331">
        <w:t>uthority has the power to undertake the work itself and recover the costs of doing so from the owner</w:t>
      </w:r>
      <w:r w:rsidR="006774D9">
        <w:t xml:space="preserve"> or applicant</w:t>
      </w:r>
      <w:r w:rsidR="00877331">
        <w:t>.</w:t>
      </w:r>
    </w:p>
    <w:p w:rsidR="00877331" w:rsidRDefault="00877331" w:rsidP="00877331"/>
    <w:p w:rsidR="00877331" w:rsidRDefault="008B7E0A" w:rsidP="00877331">
      <w:r>
        <w:t xml:space="preserve">2.4 </w:t>
      </w:r>
      <w:r w:rsidR="006774D9">
        <w:t>A S</w:t>
      </w:r>
      <w:r w:rsidR="00877331">
        <w:t>ection 36 enforcement notice cannot be served after the expiration of 12 months from the date of comp</w:t>
      </w:r>
      <w:r w:rsidR="006774D9">
        <w:t>letion of the building work. A L</w:t>
      </w:r>
      <w:r w:rsidR="00877331">
        <w:t>o</w:t>
      </w:r>
      <w:r w:rsidR="006774D9">
        <w:t>cal A</w:t>
      </w:r>
      <w:r w:rsidR="00877331">
        <w:t>uthority also cannot</w:t>
      </w:r>
      <w:r w:rsidR="006774D9">
        <w:t xml:space="preserve"> take enforcement action under S</w:t>
      </w:r>
      <w:r w:rsidR="00877331">
        <w:t xml:space="preserve">ection 36 if the work which has been carried out is in accordance with the full plans application which the authority </w:t>
      </w:r>
      <w:r w:rsidR="006774D9">
        <w:t xml:space="preserve">has </w:t>
      </w:r>
      <w:r w:rsidR="00877331">
        <w:t>approved or failed to reject.</w:t>
      </w:r>
      <w:r w:rsidR="009B5E51">
        <w:t xml:space="preserve"> </w:t>
      </w:r>
      <w:r w:rsidR="009F24D0">
        <w:t>An appeal against a Section 36 N</w:t>
      </w:r>
      <w:r w:rsidR="00877331">
        <w:t xml:space="preserve">otice may be made </w:t>
      </w:r>
      <w:r w:rsidR="009F24D0">
        <w:t xml:space="preserve">submitted </w:t>
      </w:r>
      <w:r w:rsidR="00877331">
        <w:t>t</w:t>
      </w:r>
      <w:r w:rsidR="009F24D0">
        <w:t>o a Magistrates</w:t>
      </w:r>
      <w:r w:rsidR="00877331">
        <w:t xml:space="preserve"> Court under section 102 of the Building Act</w:t>
      </w:r>
      <w:r w:rsidR="009F24D0">
        <w:t xml:space="preserve"> 1984</w:t>
      </w:r>
      <w:r w:rsidR="00877331">
        <w:t>.</w:t>
      </w:r>
    </w:p>
    <w:p w:rsidR="00877331" w:rsidRDefault="00877331" w:rsidP="00877331"/>
    <w:p w:rsidR="00877331" w:rsidRDefault="008B7E0A" w:rsidP="00877331">
      <w:r>
        <w:t xml:space="preserve">2.5 </w:t>
      </w:r>
      <w:r w:rsidR="00E00CE8">
        <w:t>Where an AI is providing the Building C</w:t>
      </w:r>
      <w:r w:rsidR="00877331">
        <w:t>ontrol service, the respon</w:t>
      </w:r>
      <w:r w:rsidR="00E00CE8">
        <w:t>sibility for checking that the Building R</w:t>
      </w:r>
      <w:r w:rsidR="00877331">
        <w:t>egulations are complied with during the course of the building work</w:t>
      </w:r>
      <w:r w:rsidR="00E00CE8">
        <w:t xml:space="preserve"> will lie with the AI as set out under and in accordance with</w:t>
      </w:r>
      <w:r w:rsidR="004D7E72">
        <w:t xml:space="preserve"> The Building (</w:t>
      </w:r>
      <w:r w:rsidR="00E00CE8">
        <w:t>Approved Inspector</w:t>
      </w:r>
      <w:r w:rsidR="004D7E72">
        <w:t xml:space="preserve"> etc.)</w:t>
      </w:r>
      <w:r w:rsidR="00E00CE8">
        <w:t xml:space="preserve"> </w:t>
      </w:r>
      <w:proofErr w:type="gramStart"/>
      <w:r w:rsidR="00E00CE8">
        <w:t>Regulations</w:t>
      </w:r>
      <w:r w:rsidR="004D7E72">
        <w:t xml:space="preserve"> 2010</w:t>
      </w:r>
      <w:r w:rsidR="00877331">
        <w:t>.</w:t>
      </w:r>
      <w:proofErr w:type="gramEnd"/>
      <w:r w:rsidR="00877331">
        <w:t xml:space="preserve"> </w:t>
      </w:r>
    </w:p>
    <w:p w:rsidR="004D7E72" w:rsidRDefault="004D7E72" w:rsidP="00877331"/>
    <w:p w:rsidR="00877331" w:rsidRDefault="008B7E0A" w:rsidP="00454337">
      <w:r>
        <w:t xml:space="preserve">2.6 </w:t>
      </w:r>
      <w:r w:rsidR="00BE4FC9">
        <w:t>As AI’</w:t>
      </w:r>
      <w:r w:rsidR="00877331">
        <w:t xml:space="preserve">s do not </w:t>
      </w:r>
      <w:r w:rsidR="00BE4FC9">
        <w:t>possess</w:t>
      </w:r>
      <w:r w:rsidR="009B5E51">
        <w:t xml:space="preserve"> formal enforcement powers </w:t>
      </w:r>
      <w:r w:rsidR="00877331">
        <w:t>whe</w:t>
      </w:r>
      <w:r w:rsidR="009B5E51">
        <w:t>n</w:t>
      </w:r>
      <w:r w:rsidR="00877331">
        <w:t xml:space="preserve"> the inspector considers that building work does not comply with the </w:t>
      </w:r>
      <w:r w:rsidR="00BE4FC9">
        <w:t>current Building R</w:t>
      </w:r>
      <w:r w:rsidR="00877331">
        <w:t xml:space="preserve">egulations and there is a refusal </w:t>
      </w:r>
      <w:r w:rsidR="00BE4FC9">
        <w:t>from the offending party to demonstrate compliance the AI</w:t>
      </w:r>
      <w:r w:rsidR="00877331">
        <w:t xml:space="preserve"> </w:t>
      </w:r>
      <w:r w:rsidR="00BE4FC9">
        <w:t>will then cancel the Initial N</w:t>
      </w:r>
      <w:r w:rsidR="00877331">
        <w:t>otice</w:t>
      </w:r>
      <w:r w:rsidR="00BE4FC9">
        <w:t xml:space="preserve"> which is a legal requirement to submit to the Local Authority as part of the commencement process</w:t>
      </w:r>
      <w:r w:rsidR="006B1006">
        <w:t>. If no other AI</w:t>
      </w:r>
      <w:r w:rsidR="00877331">
        <w:t xml:space="preserve"> takes on the </w:t>
      </w:r>
      <w:r w:rsidR="006B1006">
        <w:t>building control activity, the Building C</w:t>
      </w:r>
      <w:r w:rsidR="00877331">
        <w:t>ontrol function w</w:t>
      </w:r>
      <w:r w:rsidR="006B1006">
        <w:t>ill automatically default to the LABC body. From this point on, the Local A</w:t>
      </w:r>
      <w:r w:rsidR="00877331">
        <w:t xml:space="preserve">uthority will have enforcement powers set out </w:t>
      </w:r>
      <w:r w:rsidR="006B1006">
        <w:t xml:space="preserve">as </w:t>
      </w:r>
      <w:r w:rsidR="00877331">
        <w:t>above where it considers this necessary.</w:t>
      </w:r>
    </w:p>
    <w:p w:rsidR="00877331" w:rsidRDefault="00877331" w:rsidP="00454337"/>
    <w:p w:rsidR="00877331" w:rsidRPr="00877331" w:rsidRDefault="008B7E0A" w:rsidP="00877331">
      <w:pPr>
        <w:rPr>
          <w:b/>
        </w:rPr>
      </w:pPr>
      <w:r>
        <w:rPr>
          <w:b/>
        </w:rPr>
        <w:t xml:space="preserve">3.0 </w:t>
      </w:r>
      <w:r w:rsidR="004B0C13">
        <w:rPr>
          <w:b/>
        </w:rPr>
        <w:t>Rates of enforcement under The Building Act 1984 &amp; Building R</w:t>
      </w:r>
      <w:r w:rsidR="00877331" w:rsidRPr="00877331">
        <w:rPr>
          <w:b/>
        </w:rPr>
        <w:t xml:space="preserve">egulations </w:t>
      </w:r>
      <w:r w:rsidR="004B0C13">
        <w:rPr>
          <w:b/>
        </w:rPr>
        <w:t>2010 – T</w:t>
      </w:r>
      <w:r w:rsidR="00877331" w:rsidRPr="00877331">
        <w:rPr>
          <w:b/>
        </w:rPr>
        <w:t>he national picture</w:t>
      </w:r>
      <w:r w:rsidR="004B0C13">
        <w:rPr>
          <w:b/>
        </w:rPr>
        <w:t>.</w:t>
      </w:r>
    </w:p>
    <w:p w:rsidR="00877331" w:rsidRDefault="00877331" w:rsidP="00877331"/>
    <w:p w:rsidR="00877331" w:rsidRDefault="008B7E0A" w:rsidP="00877331">
      <w:r>
        <w:lastRenderedPageBreak/>
        <w:t xml:space="preserve">3.1 </w:t>
      </w:r>
      <w:r w:rsidR="00877331" w:rsidRPr="003B6FC4">
        <w:t>Research carried out on behalf of the Local Government Association</w:t>
      </w:r>
      <w:r w:rsidR="006F5FAF">
        <w:t xml:space="preserve"> (LGA) in 2017 evidenced </w:t>
      </w:r>
      <w:r w:rsidR="00877331" w:rsidRPr="003B6FC4">
        <w:t xml:space="preserve"> the number of prosecutions under the Building</w:t>
      </w:r>
      <w:r w:rsidR="006F5FAF">
        <w:t xml:space="preserve"> Act and </w:t>
      </w:r>
      <w:r w:rsidR="00877331" w:rsidRPr="003B6FC4">
        <w:t xml:space="preserve"> Regulations has been falling and </w:t>
      </w:r>
      <w:r w:rsidR="006F5FAF">
        <w:t>is now roughly a quarter of the level</w:t>
      </w:r>
      <w:r w:rsidR="00877331" w:rsidRPr="003B6FC4">
        <w:t xml:space="preserve"> it was 10 years ago.</w:t>
      </w:r>
      <w:r w:rsidR="00877331">
        <w:t xml:space="preserve"> </w:t>
      </w:r>
    </w:p>
    <w:p w:rsidR="00877331" w:rsidRDefault="00877331" w:rsidP="00877331"/>
    <w:p w:rsidR="00D13D32" w:rsidRDefault="008B7E0A" w:rsidP="00877331">
      <w:r>
        <w:t xml:space="preserve">3.2 </w:t>
      </w:r>
      <w:r w:rsidR="00877331">
        <w:t xml:space="preserve">The LGA </w:t>
      </w:r>
      <w:r w:rsidR="00D13D32">
        <w:t>concluded</w:t>
      </w:r>
      <w:r w:rsidR="00877331">
        <w:t xml:space="preserve"> that t</w:t>
      </w:r>
      <w:r w:rsidR="00877331" w:rsidRPr="00845DAA">
        <w:t xml:space="preserve">he </w:t>
      </w:r>
      <w:r w:rsidR="00877331">
        <w:t xml:space="preserve">low </w:t>
      </w:r>
      <w:r w:rsidR="00D13D32">
        <w:t>level of fines and costs awarded by the courts meant that prosecution was not considered an effective enforcement option by local authorities. This explains why prosecutions taken by Building Control have always been rare and generally reserved for exceptional cases</w:t>
      </w:r>
      <w:r w:rsidR="00FE3974">
        <w:t>, with local authorities, including Oxford</w:t>
      </w:r>
      <w:r w:rsidR="00ED7117">
        <w:t>,</w:t>
      </w:r>
      <w:r w:rsidR="00FE3974">
        <w:t xml:space="preserve"> pursuing informal routes to secure compliance instead</w:t>
      </w:r>
      <w:r w:rsidR="00D13D32">
        <w:t>. As a result the number of recorded Building Control prosecution cases per year across the UK is very low, with approximately 95% of Local Authorities not taking a single prosecution.</w:t>
      </w:r>
    </w:p>
    <w:p w:rsidR="00D13D32" w:rsidRDefault="00D13D32" w:rsidP="00877331"/>
    <w:p w:rsidR="00D13D32" w:rsidRDefault="00D13D32" w:rsidP="00877331">
      <w:r>
        <w:t xml:space="preserve">3.3 The LGA figures for costs from </w:t>
      </w:r>
      <w:r w:rsidR="00FE3974">
        <w:t xml:space="preserve">prosecutions by </w:t>
      </w:r>
      <w:r>
        <w:t>local authorities were:</w:t>
      </w:r>
    </w:p>
    <w:p w:rsidR="00877331" w:rsidRDefault="00877331" w:rsidP="00877331"/>
    <w:tbl>
      <w:tblPr>
        <w:tblStyle w:val="TableGrid"/>
        <w:tblW w:w="0" w:type="auto"/>
        <w:tblLook w:val="04A0" w:firstRow="1" w:lastRow="0" w:firstColumn="1" w:lastColumn="0" w:noHBand="0" w:noVBand="1"/>
      </w:tblPr>
      <w:tblGrid>
        <w:gridCol w:w="5070"/>
        <w:gridCol w:w="1984"/>
      </w:tblGrid>
      <w:tr w:rsidR="00877331" w:rsidTr="00DF2968">
        <w:tc>
          <w:tcPr>
            <w:tcW w:w="5070" w:type="dxa"/>
          </w:tcPr>
          <w:p w:rsidR="00877331" w:rsidRDefault="00877331" w:rsidP="00DF2968">
            <w:r>
              <w:t>Average cost to council of prosecution</w:t>
            </w:r>
          </w:p>
        </w:tc>
        <w:tc>
          <w:tcPr>
            <w:tcW w:w="1984" w:type="dxa"/>
          </w:tcPr>
          <w:p w:rsidR="00877331" w:rsidRDefault="00877331" w:rsidP="00DF2968">
            <w:r>
              <w:t>£10,753.29</w:t>
            </w:r>
          </w:p>
        </w:tc>
      </w:tr>
      <w:tr w:rsidR="00877331" w:rsidTr="00DF2968">
        <w:tc>
          <w:tcPr>
            <w:tcW w:w="5070" w:type="dxa"/>
          </w:tcPr>
          <w:p w:rsidR="00877331" w:rsidRDefault="00877331" w:rsidP="00DF2968">
            <w:r>
              <w:t>Average fine for perpetrator</w:t>
            </w:r>
          </w:p>
        </w:tc>
        <w:tc>
          <w:tcPr>
            <w:tcW w:w="1984" w:type="dxa"/>
          </w:tcPr>
          <w:p w:rsidR="00877331" w:rsidRDefault="00877331" w:rsidP="00DF2968">
            <w:r>
              <w:t>£5,127.83</w:t>
            </w:r>
          </w:p>
        </w:tc>
      </w:tr>
      <w:tr w:rsidR="00877331" w:rsidTr="00DF2968">
        <w:tc>
          <w:tcPr>
            <w:tcW w:w="5070" w:type="dxa"/>
          </w:tcPr>
          <w:p w:rsidR="00877331" w:rsidRDefault="00877331" w:rsidP="00DF2968">
            <w:r>
              <w:t>Average costs awarded by court</w:t>
            </w:r>
          </w:p>
        </w:tc>
        <w:tc>
          <w:tcPr>
            <w:tcW w:w="1984" w:type="dxa"/>
          </w:tcPr>
          <w:p w:rsidR="00877331" w:rsidRDefault="00877331" w:rsidP="00DF2968">
            <w:r>
              <w:t>£670.60</w:t>
            </w:r>
          </w:p>
        </w:tc>
      </w:tr>
      <w:tr w:rsidR="00877331" w:rsidTr="00DF2968">
        <w:tc>
          <w:tcPr>
            <w:tcW w:w="5070" w:type="dxa"/>
          </w:tcPr>
          <w:p w:rsidR="00877331" w:rsidRDefault="00877331" w:rsidP="00DF2968">
            <w:r>
              <w:t>Estimated average financial gain of perpetrator despite prosecution</w:t>
            </w:r>
          </w:p>
        </w:tc>
        <w:tc>
          <w:tcPr>
            <w:tcW w:w="1984" w:type="dxa"/>
          </w:tcPr>
          <w:p w:rsidR="00877331" w:rsidRDefault="00877331" w:rsidP="00DF2968">
            <w:r>
              <w:t>£12,044.44</w:t>
            </w:r>
          </w:p>
        </w:tc>
      </w:tr>
    </w:tbl>
    <w:p w:rsidR="00877331" w:rsidRDefault="00877331" w:rsidP="00877331"/>
    <w:p w:rsidR="005D2CC5" w:rsidRPr="00542A81" w:rsidRDefault="008B7E0A" w:rsidP="008A22C6">
      <w:pPr>
        <w:rPr>
          <w:b/>
        </w:rPr>
      </w:pPr>
      <w:r>
        <w:rPr>
          <w:b/>
        </w:rPr>
        <w:t xml:space="preserve">4.0 </w:t>
      </w:r>
      <w:r w:rsidR="008F585E" w:rsidRPr="00542A81">
        <w:rPr>
          <w:b/>
        </w:rPr>
        <w:t xml:space="preserve">Enforcement </w:t>
      </w:r>
      <w:r w:rsidR="00542A81" w:rsidRPr="00542A81">
        <w:rPr>
          <w:b/>
        </w:rPr>
        <w:t>approach</w:t>
      </w:r>
      <w:r w:rsidR="00F05A7E">
        <w:rPr>
          <w:b/>
        </w:rPr>
        <w:t xml:space="preserve"> for Building R</w:t>
      </w:r>
      <w:r w:rsidR="00870755" w:rsidRPr="00542A81">
        <w:rPr>
          <w:b/>
        </w:rPr>
        <w:t xml:space="preserve">egulations </w:t>
      </w:r>
    </w:p>
    <w:p w:rsidR="008F585E" w:rsidRDefault="008F585E" w:rsidP="008A22C6"/>
    <w:p w:rsidR="00542A81" w:rsidRDefault="008B7E0A" w:rsidP="008F585E">
      <w:r>
        <w:t xml:space="preserve">4.1 </w:t>
      </w:r>
      <w:r w:rsidR="00F05A7E">
        <w:t>Local A</w:t>
      </w:r>
      <w:r w:rsidR="008F1EB4">
        <w:t>uthority Building Control bodies across the UK apply</w:t>
      </w:r>
      <w:r w:rsidR="00877331">
        <w:t xml:space="preserve"> </w:t>
      </w:r>
      <w:r w:rsidR="00542A81">
        <w:t xml:space="preserve">a graduated </w:t>
      </w:r>
      <w:r w:rsidR="008F1EB4">
        <w:t xml:space="preserve">and escalated </w:t>
      </w:r>
      <w:r w:rsidR="00542A81">
        <w:t>approach to enforcement</w:t>
      </w:r>
      <w:r w:rsidR="00877331">
        <w:t xml:space="preserve"> </w:t>
      </w:r>
      <w:r w:rsidR="008F1EB4">
        <w:t xml:space="preserve">action </w:t>
      </w:r>
      <w:r w:rsidR="00877331">
        <w:t>and Oxford</w:t>
      </w:r>
      <w:r w:rsidR="008F1EB4">
        <w:t xml:space="preserve"> City Council is</w:t>
      </w:r>
      <w:r w:rsidR="00877331">
        <w:t xml:space="preserve"> no exception</w:t>
      </w:r>
      <w:r w:rsidR="008F1EB4">
        <w:t xml:space="preserve"> to this approach</w:t>
      </w:r>
      <w:r w:rsidR="00877331">
        <w:t xml:space="preserve">. </w:t>
      </w:r>
    </w:p>
    <w:p w:rsidR="00542A81" w:rsidRDefault="00542A81" w:rsidP="008F585E"/>
    <w:p w:rsidR="00542A81" w:rsidRDefault="008B7E0A" w:rsidP="008F585E">
      <w:r>
        <w:t xml:space="preserve">4.2 </w:t>
      </w:r>
      <w:r w:rsidR="00E7590F">
        <w:t>All Building C</w:t>
      </w:r>
      <w:r w:rsidR="00542A81" w:rsidRPr="00542A81">
        <w:t>ontr</w:t>
      </w:r>
      <w:r w:rsidR="008F1EB4">
        <w:t>ol work (A</w:t>
      </w:r>
      <w:r w:rsidR="00542A81" w:rsidRPr="00542A81">
        <w:t xml:space="preserve">s opposed to public safety and protection activities) is </w:t>
      </w:r>
      <w:r w:rsidR="00542A81">
        <w:t xml:space="preserve">considered to be </w:t>
      </w:r>
      <w:r w:rsidR="00542A81" w:rsidRPr="00542A81">
        <w:t xml:space="preserve">‘enforcement’.  </w:t>
      </w:r>
      <w:r w:rsidR="009C2E5D">
        <w:t xml:space="preserve">For example, </w:t>
      </w:r>
      <w:r w:rsidR="00542A81" w:rsidRPr="00542A81">
        <w:t xml:space="preserve">When </w:t>
      </w:r>
      <w:r w:rsidR="00542A81">
        <w:t>Building Control Surveyors</w:t>
      </w:r>
      <w:r w:rsidR="009C2E5D">
        <w:t xml:space="preserve"> issue feedback on full plan approvals and</w:t>
      </w:r>
      <w:r w:rsidR="00542A81" w:rsidRPr="00542A81">
        <w:t xml:space="preserve"> when </w:t>
      </w:r>
      <w:r w:rsidR="00542A81">
        <w:t>they</w:t>
      </w:r>
      <w:r w:rsidR="009C2E5D">
        <w:t xml:space="preserve"> provide feedback as part of the</w:t>
      </w:r>
      <w:r w:rsidR="00542A81" w:rsidRPr="00542A81">
        <w:t xml:space="preserve"> site</w:t>
      </w:r>
      <w:r w:rsidR="009C2E5D">
        <w:t xml:space="preserve"> inspection regime</w:t>
      </w:r>
      <w:r w:rsidR="00542A81" w:rsidRPr="00542A81">
        <w:t xml:space="preserve">, it is noted and </w:t>
      </w:r>
      <w:r w:rsidR="00542A81">
        <w:t>they</w:t>
      </w:r>
      <w:r w:rsidR="00542A81" w:rsidRPr="00542A81">
        <w:t xml:space="preserve"> expect our direction to be followed.  </w:t>
      </w:r>
      <w:r w:rsidR="00542A81">
        <w:t xml:space="preserve">The </w:t>
      </w:r>
      <w:r w:rsidR="009C2E5D">
        <w:t xml:space="preserve">guidance and subsequent </w:t>
      </w:r>
      <w:r w:rsidR="00542A81">
        <w:t xml:space="preserve">directions are </w:t>
      </w:r>
      <w:r w:rsidR="009C2E5D">
        <w:t xml:space="preserve">scrutinised </w:t>
      </w:r>
      <w:r w:rsidR="00542A81">
        <w:t>checked and</w:t>
      </w:r>
      <w:r w:rsidR="00542A81" w:rsidRPr="00542A81">
        <w:t xml:space="preserve"> close</w:t>
      </w:r>
      <w:r w:rsidR="00542A81">
        <w:t>d</w:t>
      </w:r>
      <w:r w:rsidR="009C2E5D">
        <w:t xml:space="preserve"> off as part of</w:t>
      </w:r>
      <w:r w:rsidR="00542A81" w:rsidRPr="00542A81">
        <w:t xml:space="preserve"> </w:t>
      </w:r>
      <w:r w:rsidR="009450E2">
        <w:t>the</w:t>
      </w:r>
      <w:r w:rsidR="00542A81" w:rsidRPr="00542A81">
        <w:t xml:space="preserve"> next </w:t>
      </w:r>
      <w:r w:rsidR="009C2E5D">
        <w:t>stage review or inspection element</w:t>
      </w:r>
      <w:r w:rsidR="00542A81" w:rsidRPr="00542A81">
        <w:t>.</w:t>
      </w:r>
      <w:r w:rsidR="009450E2">
        <w:t xml:space="preserve"> </w:t>
      </w:r>
    </w:p>
    <w:p w:rsidR="00542A81" w:rsidRDefault="00542A81" w:rsidP="008F585E"/>
    <w:p w:rsidR="00542A81" w:rsidRDefault="008B7E0A" w:rsidP="00542A81">
      <w:r>
        <w:t xml:space="preserve">4.3 </w:t>
      </w:r>
      <w:r w:rsidR="00542A81">
        <w:t xml:space="preserve">The vast majority of interventions by Building Control Surveyors </w:t>
      </w:r>
      <w:r w:rsidR="009C2E5D">
        <w:t>are understood and usually well received by the applicant, agent and or building contractor</w:t>
      </w:r>
      <w:r w:rsidR="00542A81">
        <w:t xml:space="preserve"> they </w:t>
      </w:r>
      <w:r w:rsidR="009C2E5D">
        <w:t xml:space="preserve">generally </w:t>
      </w:r>
      <w:r w:rsidR="00542A81">
        <w:t xml:space="preserve">get actioned immediately. However, for a minority of works </w:t>
      </w:r>
      <w:r w:rsidR="009C2E5D">
        <w:t xml:space="preserve">that may present a Building Regulations contravention </w:t>
      </w:r>
      <w:r w:rsidR="00542A81">
        <w:t>there is an</w:t>
      </w:r>
      <w:r w:rsidR="009450E2">
        <w:t xml:space="preserve"> </w:t>
      </w:r>
      <w:proofErr w:type="gramStart"/>
      <w:r w:rsidR="009450E2">
        <w:t xml:space="preserve">enforcement </w:t>
      </w:r>
      <w:r w:rsidR="00542A81">
        <w:t xml:space="preserve"> ‘escalator’</w:t>
      </w:r>
      <w:proofErr w:type="gramEnd"/>
      <w:r w:rsidR="009C2E5D">
        <w:t xml:space="preserve"> Oxford City Council Building Control will adopt as </w:t>
      </w:r>
      <w:r w:rsidR="008F1EB4">
        <w:t>outlined below:</w:t>
      </w:r>
      <w:r w:rsidR="00542A81">
        <w:t xml:space="preserve"> </w:t>
      </w:r>
    </w:p>
    <w:p w:rsidR="00542A81" w:rsidRDefault="00542A81" w:rsidP="00542A81"/>
    <w:p w:rsidR="00542A81" w:rsidRDefault="00542A81" w:rsidP="00542A81">
      <w:pPr>
        <w:pStyle w:val="ListParagraph"/>
        <w:numPr>
          <w:ilvl w:val="0"/>
          <w:numId w:val="2"/>
        </w:numPr>
      </w:pPr>
      <w:r>
        <w:t>Initial intervention</w:t>
      </w:r>
    </w:p>
    <w:p w:rsidR="00542A81" w:rsidRDefault="00542A81" w:rsidP="00542A81">
      <w:pPr>
        <w:pStyle w:val="ListParagraph"/>
        <w:numPr>
          <w:ilvl w:val="0"/>
          <w:numId w:val="2"/>
        </w:numPr>
      </w:pPr>
      <w:r>
        <w:t>Reminder and follow-up</w:t>
      </w:r>
      <w:r w:rsidR="009C2E5D">
        <w:t xml:space="preserve"> action</w:t>
      </w:r>
    </w:p>
    <w:p w:rsidR="00542A81" w:rsidRDefault="00542A81" w:rsidP="00542A81">
      <w:pPr>
        <w:pStyle w:val="ListParagraph"/>
        <w:numPr>
          <w:ilvl w:val="0"/>
          <w:numId w:val="2"/>
        </w:numPr>
      </w:pPr>
      <w:r>
        <w:t>Formal request</w:t>
      </w:r>
      <w:r w:rsidR="009C2E5D">
        <w:t xml:space="preserve"> to remove the contravention</w:t>
      </w:r>
    </w:p>
    <w:p w:rsidR="00542A81" w:rsidRDefault="00542A81" w:rsidP="00542A81">
      <w:pPr>
        <w:pStyle w:val="ListParagraph"/>
        <w:numPr>
          <w:ilvl w:val="0"/>
          <w:numId w:val="2"/>
        </w:numPr>
      </w:pPr>
      <w:r>
        <w:t>Follow-up</w:t>
      </w:r>
      <w:r w:rsidR="009C2E5D">
        <w:t xml:space="preserve"> action to assess the status of the contravention</w:t>
      </w:r>
    </w:p>
    <w:p w:rsidR="00542A81" w:rsidRDefault="00542A81" w:rsidP="00542A81">
      <w:pPr>
        <w:pStyle w:val="ListParagraph"/>
        <w:numPr>
          <w:ilvl w:val="0"/>
          <w:numId w:val="2"/>
        </w:numPr>
      </w:pPr>
      <w:r>
        <w:t xml:space="preserve">Threat of </w:t>
      </w:r>
      <w:r w:rsidR="009C2E5D">
        <w:t xml:space="preserve">legal </w:t>
      </w:r>
      <w:r>
        <w:t>action</w:t>
      </w:r>
    </w:p>
    <w:p w:rsidR="00542A81" w:rsidRDefault="00542A81" w:rsidP="00542A81">
      <w:pPr>
        <w:pStyle w:val="ListParagraph"/>
        <w:numPr>
          <w:ilvl w:val="0"/>
          <w:numId w:val="2"/>
        </w:numPr>
      </w:pPr>
      <w:r>
        <w:t>Preparation of legal action</w:t>
      </w:r>
      <w:r w:rsidR="009C2E5D">
        <w:t xml:space="preserve"> </w:t>
      </w:r>
    </w:p>
    <w:p w:rsidR="00542A81" w:rsidRDefault="00542A81" w:rsidP="00542A81">
      <w:pPr>
        <w:pStyle w:val="ListParagraph"/>
        <w:numPr>
          <w:ilvl w:val="0"/>
          <w:numId w:val="2"/>
        </w:numPr>
      </w:pPr>
      <w:r>
        <w:t xml:space="preserve">Serving </w:t>
      </w:r>
      <w:r w:rsidR="009C2E5D">
        <w:t xml:space="preserve">formal </w:t>
      </w:r>
      <w:r>
        <w:t>papers</w:t>
      </w:r>
    </w:p>
    <w:p w:rsidR="00542A81" w:rsidRDefault="00542A81" w:rsidP="00542A81">
      <w:pPr>
        <w:pStyle w:val="ListParagraph"/>
        <w:numPr>
          <w:ilvl w:val="0"/>
          <w:numId w:val="2"/>
        </w:numPr>
      </w:pPr>
      <w:r>
        <w:t>Court date</w:t>
      </w:r>
    </w:p>
    <w:p w:rsidR="00542A81" w:rsidRDefault="00542A81" w:rsidP="00542A81">
      <w:pPr>
        <w:pStyle w:val="ListParagraph"/>
        <w:numPr>
          <w:ilvl w:val="0"/>
          <w:numId w:val="2"/>
        </w:numPr>
      </w:pPr>
      <w:r>
        <w:t>Court appearance</w:t>
      </w:r>
    </w:p>
    <w:p w:rsidR="00542A81" w:rsidRDefault="00542A81" w:rsidP="008F585E"/>
    <w:p w:rsidR="009B5E51" w:rsidRDefault="008B7E0A" w:rsidP="008F585E">
      <w:r>
        <w:t xml:space="preserve">4.4 </w:t>
      </w:r>
      <w:r w:rsidR="00877331">
        <w:t xml:space="preserve">When assessing what </w:t>
      </w:r>
      <w:r w:rsidR="009450E2">
        <w:t xml:space="preserve">enforcement </w:t>
      </w:r>
      <w:r w:rsidR="009C2E5D">
        <w:t>action to take a key factor for consideration</w:t>
      </w:r>
      <w:r w:rsidR="00877331">
        <w:t xml:space="preserve"> is public interest. In the case of build</w:t>
      </w:r>
      <w:r w:rsidR="009C2E5D">
        <w:t>ing work this usually directly involves the</w:t>
      </w:r>
      <w:r w:rsidR="00877331">
        <w:t xml:space="preserve"> home owner. For home owners having </w:t>
      </w:r>
      <w:proofErr w:type="gramStart"/>
      <w:r w:rsidR="00877331">
        <w:t>work</w:t>
      </w:r>
      <w:proofErr w:type="gramEnd"/>
      <w:r w:rsidR="00877331">
        <w:t xml:space="preserve"> done to their own homes, Building Control usually prefer the option to</w:t>
      </w:r>
      <w:r w:rsidR="009C2E5D">
        <w:t xml:space="preserve"> enter into informal negotiation in the first instance to achieve the required remedial action to achieve the issuing of the Building Control completion certificate.  Ultimately the Building Control completion certificate</w:t>
      </w:r>
      <w:r w:rsidR="00877331">
        <w:t xml:space="preserve"> is what the home owner needs more than a protracted leg</w:t>
      </w:r>
      <w:r w:rsidR="009C2E5D">
        <w:t>al process.  A legal process may well</w:t>
      </w:r>
      <w:r w:rsidR="00877331">
        <w:t xml:space="preserve"> result in a successful prosecution but with the</w:t>
      </w:r>
      <w:r w:rsidR="006B45D4">
        <w:t xml:space="preserve"> contravening</w:t>
      </w:r>
      <w:r w:rsidR="00877331">
        <w:t xml:space="preserve"> building work still needing to be rectified. There i</w:t>
      </w:r>
      <w:r w:rsidR="006B45D4">
        <w:t xml:space="preserve">s also the issue of sub-standard building </w:t>
      </w:r>
      <w:r w:rsidR="00F6631F">
        <w:t>work, carried out by incompetent Builders which the LABC body can action under Regulation 7 – Materials and Workmanship of the Building Regulations 2010</w:t>
      </w:r>
      <w:r w:rsidR="00877331">
        <w:t xml:space="preserve">.  </w:t>
      </w:r>
    </w:p>
    <w:p w:rsidR="00F6631F" w:rsidRDefault="00F6631F" w:rsidP="008F585E"/>
    <w:p w:rsidR="00845DAA" w:rsidRDefault="008B7E0A" w:rsidP="008F585E">
      <w:r>
        <w:t xml:space="preserve">4.5 </w:t>
      </w:r>
      <w:r w:rsidR="00EA326F">
        <w:t>Building Regulation c</w:t>
      </w:r>
      <w:r w:rsidR="001A7812">
        <w:t xml:space="preserve">ontraventions are recorded separately from </w:t>
      </w:r>
      <w:r w:rsidR="00EA326F">
        <w:t xml:space="preserve">standard Building Regulations </w:t>
      </w:r>
      <w:r w:rsidR="001A7812">
        <w:t xml:space="preserve">applications and the indication is that there has been a steady decline in the number of contraventions </w:t>
      </w:r>
      <w:r w:rsidR="009B5E51">
        <w:t xml:space="preserve">reported to the Council </w:t>
      </w:r>
      <w:r w:rsidR="001A7812">
        <w:t xml:space="preserve">involving </w:t>
      </w:r>
      <w:r w:rsidR="003D50EE">
        <w:t xml:space="preserve">the </w:t>
      </w:r>
      <w:r w:rsidR="001A7812">
        <w:t>Building Control</w:t>
      </w:r>
      <w:r w:rsidR="003D50EE">
        <w:t xml:space="preserve"> Service</w:t>
      </w:r>
      <w:r w:rsidR="001A7812">
        <w:t xml:space="preserve">. </w:t>
      </w:r>
    </w:p>
    <w:p w:rsidR="00845DAA" w:rsidRDefault="00845DAA" w:rsidP="008F585E"/>
    <w:tbl>
      <w:tblPr>
        <w:tblStyle w:val="TableGrid"/>
        <w:tblW w:w="0" w:type="auto"/>
        <w:tblLook w:val="04A0" w:firstRow="1" w:lastRow="0" w:firstColumn="1" w:lastColumn="0" w:noHBand="0" w:noVBand="1"/>
      </w:tblPr>
      <w:tblGrid>
        <w:gridCol w:w="1809"/>
        <w:gridCol w:w="2410"/>
      </w:tblGrid>
      <w:tr w:rsidR="005079C9" w:rsidTr="005079C9">
        <w:tc>
          <w:tcPr>
            <w:tcW w:w="1809" w:type="dxa"/>
          </w:tcPr>
          <w:p w:rsidR="005079C9" w:rsidRDefault="005079C9" w:rsidP="008F585E">
            <w:r>
              <w:t>Year</w:t>
            </w:r>
          </w:p>
        </w:tc>
        <w:tc>
          <w:tcPr>
            <w:tcW w:w="2410" w:type="dxa"/>
          </w:tcPr>
          <w:p w:rsidR="005079C9" w:rsidRDefault="005079C9" w:rsidP="008F585E">
            <w:r>
              <w:t>Contraventions</w:t>
            </w:r>
          </w:p>
        </w:tc>
      </w:tr>
      <w:tr w:rsidR="005079C9" w:rsidTr="005079C9">
        <w:tc>
          <w:tcPr>
            <w:tcW w:w="1809" w:type="dxa"/>
          </w:tcPr>
          <w:p w:rsidR="005079C9" w:rsidRDefault="005079C9" w:rsidP="008F585E">
            <w:r>
              <w:t>2018</w:t>
            </w:r>
          </w:p>
        </w:tc>
        <w:tc>
          <w:tcPr>
            <w:tcW w:w="2410" w:type="dxa"/>
          </w:tcPr>
          <w:p w:rsidR="005079C9" w:rsidRDefault="005079C9" w:rsidP="008F585E">
            <w:r>
              <w:t>17</w:t>
            </w:r>
          </w:p>
        </w:tc>
      </w:tr>
      <w:tr w:rsidR="005079C9" w:rsidTr="005079C9">
        <w:tc>
          <w:tcPr>
            <w:tcW w:w="1809" w:type="dxa"/>
          </w:tcPr>
          <w:p w:rsidR="005079C9" w:rsidRDefault="005079C9" w:rsidP="008F585E">
            <w:r>
              <w:t>2017</w:t>
            </w:r>
          </w:p>
        </w:tc>
        <w:tc>
          <w:tcPr>
            <w:tcW w:w="2410" w:type="dxa"/>
          </w:tcPr>
          <w:p w:rsidR="005079C9" w:rsidRDefault="005079C9" w:rsidP="008F585E">
            <w:r>
              <w:t>20</w:t>
            </w:r>
          </w:p>
        </w:tc>
      </w:tr>
      <w:tr w:rsidR="005079C9" w:rsidTr="005079C9">
        <w:tc>
          <w:tcPr>
            <w:tcW w:w="1809" w:type="dxa"/>
          </w:tcPr>
          <w:p w:rsidR="005079C9" w:rsidRDefault="005079C9" w:rsidP="008F585E">
            <w:r>
              <w:t>2016</w:t>
            </w:r>
          </w:p>
        </w:tc>
        <w:tc>
          <w:tcPr>
            <w:tcW w:w="2410" w:type="dxa"/>
          </w:tcPr>
          <w:p w:rsidR="005079C9" w:rsidRDefault="005079C9" w:rsidP="008F585E">
            <w:r>
              <w:t>28</w:t>
            </w:r>
          </w:p>
        </w:tc>
      </w:tr>
      <w:tr w:rsidR="005079C9" w:rsidTr="005079C9">
        <w:tc>
          <w:tcPr>
            <w:tcW w:w="1809" w:type="dxa"/>
          </w:tcPr>
          <w:p w:rsidR="005079C9" w:rsidRDefault="005079C9" w:rsidP="008F585E">
            <w:r>
              <w:t>2015</w:t>
            </w:r>
          </w:p>
        </w:tc>
        <w:tc>
          <w:tcPr>
            <w:tcW w:w="2410" w:type="dxa"/>
          </w:tcPr>
          <w:p w:rsidR="005079C9" w:rsidRDefault="005079C9" w:rsidP="008F585E">
            <w:r>
              <w:t>28</w:t>
            </w:r>
          </w:p>
        </w:tc>
      </w:tr>
      <w:tr w:rsidR="005079C9" w:rsidTr="005079C9">
        <w:tc>
          <w:tcPr>
            <w:tcW w:w="1809" w:type="dxa"/>
          </w:tcPr>
          <w:p w:rsidR="005079C9" w:rsidRDefault="005079C9" w:rsidP="008F585E">
            <w:r>
              <w:t>2014</w:t>
            </w:r>
          </w:p>
        </w:tc>
        <w:tc>
          <w:tcPr>
            <w:tcW w:w="2410" w:type="dxa"/>
          </w:tcPr>
          <w:p w:rsidR="005079C9" w:rsidRDefault="005079C9" w:rsidP="008F585E">
            <w:r>
              <w:t>34</w:t>
            </w:r>
          </w:p>
        </w:tc>
      </w:tr>
      <w:tr w:rsidR="005079C9" w:rsidTr="005079C9">
        <w:tc>
          <w:tcPr>
            <w:tcW w:w="1809" w:type="dxa"/>
          </w:tcPr>
          <w:p w:rsidR="005079C9" w:rsidRDefault="005079C9" w:rsidP="008F585E">
            <w:r>
              <w:t>2013</w:t>
            </w:r>
          </w:p>
        </w:tc>
        <w:tc>
          <w:tcPr>
            <w:tcW w:w="2410" w:type="dxa"/>
          </w:tcPr>
          <w:p w:rsidR="005079C9" w:rsidRDefault="005079C9" w:rsidP="008F585E">
            <w:r>
              <w:t>35</w:t>
            </w:r>
          </w:p>
        </w:tc>
      </w:tr>
      <w:tr w:rsidR="005079C9" w:rsidTr="005079C9">
        <w:tc>
          <w:tcPr>
            <w:tcW w:w="1809" w:type="dxa"/>
          </w:tcPr>
          <w:p w:rsidR="005079C9" w:rsidRDefault="005079C9" w:rsidP="008F585E">
            <w:r>
              <w:t>2012</w:t>
            </w:r>
          </w:p>
        </w:tc>
        <w:tc>
          <w:tcPr>
            <w:tcW w:w="2410" w:type="dxa"/>
          </w:tcPr>
          <w:p w:rsidR="005079C9" w:rsidRDefault="005079C9" w:rsidP="008F585E">
            <w:r>
              <w:t>47</w:t>
            </w:r>
          </w:p>
        </w:tc>
      </w:tr>
      <w:tr w:rsidR="005079C9" w:rsidTr="005079C9">
        <w:tc>
          <w:tcPr>
            <w:tcW w:w="1809" w:type="dxa"/>
          </w:tcPr>
          <w:p w:rsidR="005079C9" w:rsidRDefault="005079C9" w:rsidP="008F585E">
            <w:r>
              <w:t>2011</w:t>
            </w:r>
          </w:p>
        </w:tc>
        <w:tc>
          <w:tcPr>
            <w:tcW w:w="2410" w:type="dxa"/>
          </w:tcPr>
          <w:p w:rsidR="005079C9" w:rsidRDefault="005079C9" w:rsidP="008F585E">
            <w:r>
              <w:t>57</w:t>
            </w:r>
          </w:p>
        </w:tc>
      </w:tr>
      <w:tr w:rsidR="005079C9" w:rsidTr="005079C9">
        <w:tc>
          <w:tcPr>
            <w:tcW w:w="1809" w:type="dxa"/>
          </w:tcPr>
          <w:p w:rsidR="005079C9" w:rsidRDefault="005079C9" w:rsidP="008F585E">
            <w:r>
              <w:t>2010</w:t>
            </w:r>
          </w:p>
        </w:tc>
        <w:tc>
          <w:tcPr>
            <w:tcW w:w="2410" w:type="dxa"/>
          </w:tcPr>
          <w:p w:rsidR="005079C9" w:rsidRDefault="005079C9" w:rsidP="008F585E">
            <w:r>
              <w:t>59</w:t>
            </w:r>
          </w:p>
        </w:tc>
      </w:tr>
      <w:tr w:rsidR="005079C9" w:rsidTr="005079C9">
        <w:tc>
          <w:tcPr>
            <w:tcW w:w="1809" w:type="dxa"/>
          </w:tcPr>
          <w:p w:rsidR="005079C9" w:rsidRDefault="005079C9" w:rsidP="008F585E">
            <w:r>
              <w:t>2009</w:t>
            </w:r>
          </w:p>
        </w:tc>
        <w:tc>
          <w:tcPr>
            <w:tcW w:w="2410" w:type="dxa"/>
          </w:tcPr>
          <w:p w:rsidR="005079C9" w:rsidRDefault="005079C9" w:rsidP="008F585E">
            <w:r>
              <w:t>55</w:t>
            </w:r>
          </w:p>
        </w:tc>
      </w:tr>
      <w:tr w:rsidR="005079C9" w:rsidTr="005079C9">
        <w:tc>
          <w:tcPr>
            <w:tcW w:w="1809" w:type="dxa"/>
          </w:tcPr>
          <w:p w:rsidR="005079C9" w:rsidRDefault="005079C9" w:rsidP="008F585E">
            <w:r>
              <w:t>2008</w:t>
            </w:r>
          </w:p>
        </w:tc>
        <w:tc>
          <w:tcPr>
            <w:tcW w:w="2410" w:type="dxa"/>
          </w:tcPr>
          <w:p w:rsidR="005079C9" w:rsidRDefault="005079C9" w:rsidP="008F585E">
            <w:r>
              <w:t>44</w:t>
            </w:r>
          </w:p>
        </w:tc>
      </w:tr>
    </w:tbl>
    <w:p w:rsidR="008F1EB4" w:rsidRDefault="008F1EB4" w:rsidP="008F585E"/>
    <w:p w:rsidR="003D50EE" w:rsidRDefault="008B7E0A" w:rsidP="008F585E">
      <w:r>
        <w:t xml:space="preserve">4.6 </w:t>
      </w:r>
      <w:r w:rsidR="00870755">
        <w:t>Rather than pursue formal action for non-compliance the Council usually seeks to ensure compliance through a</w:t>
      </w:r>
      <w:r w:rsidR="00816F99">
        <w:t xml:space="preserve"> retrospective application for Building Regulations approval known as a Regularisation A</w:t>
      </w:r>
      <w:r w:rsidR="00870755">
        <w:t xml:space="preserve">pplication. </w:t>
      </w:r>
      <w:r w:rsidR="00816F99">
        <w:t xml:space="preserve"> Therefore, i</w:t>
      </w:r>
      <w:r w:rsidR="00870755">
        <w:t xml:space="preserve">f the </w:t>
      </w:r>
      <w:r w:rsidR="00816F99">
        <w:t xml:space="preserve">building </w:t>
      </w:r>
      <w:r w:rsidR="00870755">
        <w:t>works have already commenced or been comp</w:t>
      </w:r>
      <w:r w:rsidR="00816F99">
        <w:t xml:space="preserve">leted without a valid </w:t>
      </w:r>
      <w:r w:rsidR="00870755">
        <w:t xml:space="preserve">application </w:t>
      </w:r>
      <w:r w:rsidR="00816F99">
        <w:t xml:space="preserve">being submitted to Oxford City Council Building Control </w:t>
      </w:r>
      <w:r w:rsidR="00870755">
        <w:t xml:space="preserve">there is 50% increase applied to the </w:t>
      </w:r>
      <w:r w:rsidR="00816F99">
        <w:t xml:space="preserve">standard application </w:t>
      </w:r>
      <w:r w:rsidR="00870755">
        <w:t>fee</w:t>
      </w:r>
      <w:r w:rsidR="00816F99">
        <w:t xml:space="preserve"> as a penalty for non-compliance and the need for Building Control Surveyors to undertake retrospective assessments and inspections which can be challenging on occasions</w:t>
      </w:r>
      <w:r w:rsidR="00870755">
        <w:t xml:space="preserve">. </w:t>
      </w:r>
      <w:r w:rsidR="00816F99">
        <w:t>Also, there are times when building work is unable to be subject to the regularisation process where the building work is of poor quality or any building work undertaken prior to the 11</w:t>
      </w:r>
      <w:r w:rsidR="00816F99" w:rsidRPr="00816F99">
        <w:rPr>
          <w:vertAlign w:val="superscript"/>
        </w:rPr>
        <w:t>th</w:t>
      </w:r>
      <w:r w:rsidR="00816F99">
        <w:t xml:space="preserve"> November 1985 cannot legally be regularised and will be recorded as a property charge on the Council records as unauthorised work.  </w:t>
      </w:r>
      <w:r w:rsidR="00282DF2">
        <w:t>There are often additi</w:t>
      </w:r>
      <w:r w:rsidR="00816F99">
        <w:t>onal costs</w:t>
      </w:r>
      <w:r w:rsidR="00AC35D5">
        <w:t xml:space="preserve"> for unauthorised work</w:t>
      </w:r>
      <w:r w:rsidR="00816F99">
        <w:t xml:space="preserve"> required to satisfy Building R</w:t>
      </w:r>
      <w:r w:rsidR="00282DF2">
        <w:t>egulation requirements such as opening up building works so that inspections of key elements can be inspected</w:t>
      </w:r>
      <w:r w:rsidR="00AC35D5">
        <w:t xml:space="preserve"> to demonstrate compliance</w:t>
      </w:r>
      <w:r w:rsidR="00282DF2">
        <w:t xml:space="preserve">. </w:t>
      </w:r>
    </w:p>
    <w:p w:rsidR="003D50EE" w:rsidRDefault="003D50EE" w:rsidP="008F585E"/>
    <w:p w:rsidR="00C8343E" w:rsidRDefault="008B7E0A" w:rsidP="008F585E">
      <w:r>
        <w:t xml:space="preserve">4.7 </w:t>
      </w:r>
      <w:r w:rsidR="009B5E51">
        <w:t xml:space="preserve">No prosecutions have been taken by Oxford Building Control in the last ten years and only one statutory notice has been served, which was in 2018. As such our </w:t>
      </w:r>
      <w:r w:rsidR="009B5E51">
        <w:lastRenderedPageBreak/>
        <w:t>enforcement</w:t>
      </w:r>
      <w:r w:rsidR="009450E2">
        <w:t xml:space="preserve"> approach and </w:t>
      </w:r>
      <w:r w:rsidR="009B5E51">
        <w:t>rate</w:t>
      </w:r>
      <w:r w:rsidR="009450E2">
        <w:t>s of activity are</w:t>
      </w:r>
      <w:r w:rsidR="009B5E51">
        <w:t xml:space="preserve"> </w:t>
      </w:r>
      <w:r w:rsidR="0084622B">
        <w:t>very low however, typical of most other Local A</w:t>
      </w:r>
      <w:r w:rsidR="009B5E51">
        <w:t xml:space="preserve">uthorities. </w:t>
      </w:r>
    </w:p>
    <w:p w:rsidR="00C8343E" w:rsidRDefault="00C8343E" w:rsidP="008F585E"/>
    <w:p w:rsidR="009B5E51" w:rsidRPr="009450E2" w:rsidRDefault="008B7E0A" w:rsidP="008F585E">
      <w:pPr>
        <w:rPr>
          <w:b/>
        </w:rPr>
      </w:pPr>
      <w:r>
        <w:rPr>
          <w:b/>
        </w:rPr>
        <w:t xml:space="preserve">5.0 </w:t>
      </w:r>
      <w:r w:rsidR="009B5E51" w:rsidRPr="009450E2">
        <w:rPr>
          <w:b/>
        </w:rPr>
        <w:t>Future approach</w:t>
      </w:r>
    </w:p>
    <w:p w:rsidR="009B5E51" w:rsidRDefault="009B5E51" w:rsidP="008F585E"/>
    <w:p w:rsidR="009450E2" w:rsidRDefault="008B7E0A" w:rsidP="009450E2">
      <w:r>
        <w:t xml:space="preserve">5.1 </w:t>
      </w:r>
      <w:r w:rsidR="009B5E51">
        <w:t xml:space="preserve">The </w:t>
      </w:r>
      <w:proofErr w:type="spellStart"/>
      <w:r w:rsidR="009B5E51">
        <w:t>Hackitt</w:t>
      </w:r>
      <w:proofErr w:type="spellEnd"/>
      <w:r w:rsidR="009B5E51">
        <w:t xml:space="preserve"> Review into the Grenfell Tower fire </w:t>
      </w:r>
      <w:r>
        <w:t>will</w:t>
      </w:r>
      <w:r w:rsidR="0084622B">
        <w:t xml:space="preserve"> undoubtedly impact on how Building C</w:t>
      </w:r>
      <w:r>
        <w:t>ontrol powers are u</w:t>
      </w:r>
      <w:r w:rsidR="0084622B">
        <w:t>tili</w:t>
      </w:r>
      <w:r>
        <w:t xml:space="preserve">sed in future. The report </w:t>
      </w:r>
      <w:r w:rsidR="0084622B">
        <w:t xml:space="preserve">has </w:t>
      </w:r>
      <w:r w:rsidR="009450E2" w:rsidRPr="009450E2">
        <w:t xml:space="preserve">centred on the following areas where </w:t>
      </w:r>
      <w:r w:rsidR="009450E2">
        <w:t xml:space="preserve">it concluded </w:t>
      </w:r>
      <w:r w:rsidR="009450E2" w:rsidRPr="009450E2">
        <w:t>the Regulatory Systems are not fit for purpose:</w:t>
      </w:r>
    </w:p>
    <w:p w:rsidR="009450E2" w:rsidRPr="009450E2" w:rsidRDefault="009450E2" w:rsidP="009450E2">
      <w:bookmarkStart w:id="0" w:name="_GoBack"/>
      <w:bookmarkEnd w:id="0"/>
    </w:p>
    <w:p w:rsidR="009450E2" w:rsidRPr="009450E2" w:rsidRDefault="00A323F1" w:rsidP="009450E2">
      <w:pPr>
        <w:numPr>
          <w:ilvl w:val="0"/>
          <w:numId w:val="5"/>
        </w:numPr>
        <w:contextualSpacing/>
      </w:pPr>
      <w:r>
        <w:t>The c</w:t>
      </w:r>
      <w:r w:rsidR="009450E2" w:rsidRPr="009450E2">
        <w:t xml:space="preserve">urrent </w:t>
      </w:r>
      <w:r>
        <w:t xml:space="preserve">Building </w:t>
      </w:r>
      <w:r w:rsidR="009450E2" w:rsidRPr="009450E2">
        <w:t>Regulations a</w:t>
      </w:r>
      <w:r>
        <w:t xml:space="preserve">nd guidance are too complex, </w:t>
      </w:r>
      <w:r w:rsidR="009450E2" w:rsidRPr="009450E2">
        <w:t>unclear</w:t>
      </w:r>
      <w:r>
        <w:t xml:space="preserve"> and open to </w:t>
      </w:r>
      <w:proofErr w:type="spellStart"/>
      <w:r>
        <w:t>mis</w:t>
      </w:r>
      <w:proofErr w:type="spellEnd"/>
      <w:r>
        <w:t>-interpretation</w:t>
      </w:r>
      <w:r w:rsidR="009450E2" w:rsidRPr="009450E2">
        <w:t>.</w:t>
      </w:r>
    </w:p>
    <w:p w:rsidR="009450E2" w:rsidRPr="009450E2" w:rsidRDefault="009450E2" w:rsidP="009450E2">
      <w:pPr>
        <w:numPr>
          <w:ilvl w:val="0"/>
          <w:numId w:val="5"/>
        </w:numPr>
        <w:contextualSpacing/>
      </w:pPr>
      <w:r w:rsidRPr="009450E2">
        <w:t xml:space="preserve">Clarity of roles and responsibilities </w:t>
      </w:r>
      <w:r w:rsidR="00A323F1">
        <w:t xml:space="preserve">within the construction sector </w:t>
      </w:r>
      <w:r w:rsidRPr="009450E2">
        <w:t>are poor.</w:t>
      </w:r>
    </w:p>
    <w:p w:rsidR="009450E2" w:rsidRPr="009450E2" w:rsidRDefault="009450E2" w:rsidP="009450E2">
      <w:pPr>
        <w:numPr>
          <w:ilvl w:val="0"/>
          <w:numId w:val="5"/>
        </w:numPr>
        <w:contextualSpacing/>
      </w:pPr>
      <w:r w:rsidRPr="009450E2">
        <w:t>There is often no differentiation in competency requirements for those working on high-rise and complex buildings.</w:t>
      </w:r>
    </w:p>
    <w:p w:rsidR="009450E2" w:rsidRPr="009450E2" w:rsidRDefault="00A323F1" w:rsidP="009450E2">
      <w:pPr>
        <w:numPr>
          <w:ilvl w:val="0"/>
          <w:numId w:val="5"/>
        </w:numPr>
        <w:contextualSpacing/>
      </w:pPr>
      <w:r>
        <w:t>The current c</w:t>
      </w:r>
      <w:r w:rsidR="009450E2" w:rsidRPr="009450E2">
        <w:t>ompliance, enforcement, and sanctions processes are too weak.</w:t>
      </w:r>
    </w:p>
    <w:p w:rsidR="009450E2" w:rsidRPr="009450E2" w:rsidRDefault="009450E2" w:rsidP="009450E2">
      <w:pPr>
        <w:numPr>
          <w:ilvl w:val="0"/>
          <w:numId w:val="5"/>
        </w:numPr>
        <w:contextualSpacing/>
      </w:pPr>
      <w:r w:rsidRPr="009450E2">
        <w:t xml:space="preserve">The </w:t>
      </w:r>
      <w:r w:rsidR="00A323F1">
        <w:t xml:space="preserve">current </w:t>
      </w:r>
      <w:r w:rsidRPr="009450E2">
        <w:t xml:space="preserve">route for residents to escalate </w:t>
      </w:r>
      <w:r w:rsidR="00A323F1">
        <w:t xml:space="preserve">their </w:t>
      </w:r>
      <w:r w:rsidRPr="009450E2">
        <w:t>concerns is unclear and inadequate.</w:t>
      </w:r>
    </w:p>
    <w:p w:rsidR="009450E2" w:rsidRPr="009450E2" w:rsidRDefault="009450E2" w:rsidP="009450E2">
      <w:pPr>
        <w:numPr>
          <w:ilvl w:val="0"/>
          <w:numId w:val="5"/>
        </w:numPr>
        <w:contextualSpacing/>
      </w:pPr>
      <w:r w:rsidRPr="009450E2">
        <w:t>The system of product testing, marketing, and quality assurance is not clear</w:t>
      </w:r>
      <w:r w:rsidR="00A323F1">
        <w:t xml:space="preserve"> and open for interpretation</w:t>
      </w:r>
      <w:r w:rsidRPr="009450E2">
        <w:t>.</w:t>
      </w:r>
    </w:p>
    <w:p w:rsidR="009450E2" w:rsidRPr="009450E2" w:rsidRDefault="009450E2" w:rsidP="009450E2"/>
    <w:p w:rsidR="009450E2" w:rsidRPr="009450E2" w:rsidRDefault="008B7E0A" w:rsidP="009450E2">
      <w:r>
        <w:t xml:space="preserve">5.2 </w:t>
      </w:r>
      <w:r w:rsidR="009450E2" w:rsidRPr="009450E2">
        <w:t xml:space="preserve">The Review and Implementation plan has highlighted the following areas that </w:t>
      </w:r>
      <w:r w:rsidR="009450E2">
        <w:t>will be</w:t>
      </w:r>
      <w:r w:rsidR="009450E2" w:rsidRPr="009450E2">
        <w:t xml:space="preserve"> change</w:t>
      </w:r>
      <w:r w:rsidR="009450E2">
        <w:t>d</w:t>
      </w:r>
      <w:r w:rsidR="009450E2" w:rsidRPr="009450E2">
        <w:t>:</w:t>
      </w:r>
    </w:p>
    <w:p w:rsidR="009450E2" w:rsidRPr="009450E2" w:rsidRDefault="009450E2" w:rsidP="009450E2"/>
    <w:p w:rsidR="009450E2" w:rsidRPr="009450E2" w:rsidRDefault="009450E2" w:rsidP="009450E2">
      <w:pPr>
        <w:numPr>
          <w:ilvl w:val="0"/>
          <w:numId w:val="6"/>
        </w:numPr>
        <w:contextualSpacing/>
      </w:pPr>
      <w:r w:rsidRPr="009450E2">
        <w:t>R</w:t>
      </w:r>
      <w:r w:rsidR="004A4289">
        <w:t>egulation and Guidance – A</w:t>
      </w:r>
      <w:r w:rsidRPr="009450E2">
        <w:t>re to be more risk-based and proportionate</w:t>
      </w:r>
      <w:r w:rsidR="004A4289">
        <w:t xml:space="preserve"> to the building work undertaken</w:t>
      </w:r>
      <w:r w:rsidRPr="009450E2">
        <w:t>.</w:t>
      </w:r>
    </w:p>
    <w:p w:rsidR="009450E2" w:rsidRPr="009450E2" w:rsidRDefault="009450E2" w:rsidP="009450E2">
      <w:pPr>
        <w:numPr>
          <w:ilvl w:val="0"/>
          <w:numId w:val="6"/>
        </w:numPr>
        <w:contextualSpacing/>
      </w:pPr>
      <w:r w:rsidRPr="009450E2">
        <w:t>Roles and</w:t>
      </w:r>
      <w:r w:rsidR="004A4289">
        <w:t xml:space="preserve"> Responsibilities – Clarity on r</w:t>
      </w:r>
      <w:r w:rsidRPr="009450E2">
        <w:t>esponsibility</w:t>
      </w:r>
      <w:r w:rsidR="004A4289">
        <w:t xml:space="preserve"> and accountability is</w:t>
      </w:r>
      <w:r w:rsidRPr="009450E2">
        <w:t xml:space="preserve"> to be provided.</w:t>
      </w:r>
    </w:p>
    <w:p w:rsidR="009450E2" w:rsidRPr="009450E2" w:rsidRDefault="009450E2" w:rsidP="009450E2">
      <w:pPr>
        <w:numPr>
          <w:ilvl w:val="0"/>
          <w:numId w:val="6"/>
        </w:numPr>
        <w:contextualSpacing/>
      </w:pPr>
      <w:r w:rsidRPr="009450E2">
        <w:t xml:space="preserve">Competence – Levels of competencies </w:t>
      </w:r>
      <w:r w:rsidR="004A4289">
        <w:t xml:space="preserve">across the sector </w:t>
      </w:r>
      <w:r w:rsidRPr="009450E2">
        <w:t>are to be raised.</w:t>
      </w:r>
    </w:p>
    <w:p w:rsidR="009450E2" w:rsidRPr="009450E2" w:rsidRDefault="009450E2" w:rsidP="009450E2">
      <w:pPr>
        <w:numPr>
          <w:ilvl w:val="0"/>
          <w:numId w:val="6"/>
        </w:numPr>
        <w:contextualSpacing/>
      </w:pPr>
      <w:r w:rsidRPr="009450E2">
        <w:t>Process, Compliance, and Enforcement – Stronger enforcement activities</w:t>
      </w:r>
      <w:r w:rsidR="004A4289">
        <w:t xml:space="preserve"> are</w:t>
      </w:r>
      <w:r w:rsidRPr="009450E2">
        <w:t xml:space="preserve"> to be adopted.</w:t>
      </w:r>
    </w:p>
    <w:p w:rsidR="009450E2" w:rsidRPr="009450E2" w:rsidRDefault="009450E2" w:rsidP="009450E2">
      <w:pPr>
        <w:numPr>
          <w:ilvl w:val="0"/>
          <w:numId w:val="6"/>
        </w:numPr>
        <w:contextualSpacing/>
      </w:pPr>
      <w:r w:rsidRPr="009450E2">
        <w:t>Resident’s concerns are to be formally raised.</w:t>
      </w:r>
    </w:p>
    <w:p w:rsidR="009450E2" w:rsidRPr="009450E2" w:rsidRDefault="009450E2" w:rsidP="009450E2">
      <w:pPr>
        <w:numPr>
          <w:ilvl w:val="0"/>
          <w:numId w:val="6"/>
        </w:numPr>
        <w:contextualSpacing/>
      </w:pPr>
      <w:r w:rsidRPr="009450E2">
        <w:t xml:space="preserve">Quality Assurance and Products – Products to be properly tested and certified for </w:t>
      </w:r>
      <w:r w:rsidR="004A4289">
        <w:t xml:space="preserve">full compliance and end </w:t>
      </w:r>
      <w:r w:rsidRPr="009450E2">
        <w:t>use.</w:t>
      </w:r>
    </w:p>
    <w:p w:rsidR="009450E2" w:rsidRDefault="009450E2" w:rsidP="008F585E"/>
    <w:p w:rsidR="008B7E0A" w:rsidRDefault="008B7E0A" w:rsidP="008F585E">
      <w:r>
        <w:t xml:space="preserve">5.3 Oxford City Building Control is </w:t>
      </w:r>
      <w:r w:rsidR="004A4289">
        <w:t xml:space="preserve">currently </w:t>
      </w:r>
      <w:r>
        <w:t>planning to respond to these challenges, particularly regarding competencies and enforcement processes and additional</w:t>
      </w:r>
      <w:r w:rsidR="004A4289">
        <w:t xml:space="preserve"> funding has been included in the 2019 </w:t>
      </w:r>
      <w:r>
        <w:t xml:space="preserve">Business Plan for the service that is currently with Finance for </w:t>
      </w:r>
      <w:r w:rsidR="004A4289">
        <w:t xml:space="preserve">further </w:t>
      </w:r>
      <w:r>
        <w:t xml:space="preserve">consideration. </w:t>
      </w:r>
    </w:p>
    <w:p w:rsidR="002A23ED" w:rsidRDefault="002A23ED" w:rsidP="008F585E"/>
    <w:p w:rsidR="0070181F" w:rsidRDefault="0070181F" w:rsidP="008F585E"/>
    <w:p w:rsidR="0070181F" w:rsidRPr="00667F60" w:rsidRDefault="006F4DAC" w:rsidP="008F585E">
      <w:pPr>
        <w:rPr>
          <w:b/>
        </w:rPr>
      </w:pPr>
      <w:r w:rsidRPr="00667F60">
        <w:rPr>
          <w:b/>
        </w:rPr>
        <w:t xml:space="preserve">Report </w:t>
      </w:r>
      <w:r w:rsidR="0070181F" w:rsidRPr="00667F60">
        <w:rPr>
          <w:b/>
        </w:rPr>
        <w:t>Authors:</w:t>
      </w:r>
    </w:p>
    <w:p w:rsidR="0070181F" w:rsidRDefault="0070181F" w:rsidP="008F585E"/>
    <w:p w:rsidR="006F4DAC" w:rsidRDefault="006F4DAC" w:rsidP="006F4DAC">
      <w:r>
        <w:t xml:space="preserve">Ian Wright - Head of Regulatory Services and Community Safety - </w:t>
      </w:r>
      <w:hyperlink r:id="rId9" w:history="1">
        <w:r w:rsidRPr="0030219C">
          <w:rPr>
            <w:rStyle w:val="Hyperlink"/>
          </w:rPr>
          <w:t>iwright@oxford.gov.uk</w:t>
        </w:r>
      </w:hyperlink>
      <w:r>
        <w:t xml:space="preserve"> </w:t>
      </w:r>
    </w:p>
    <w:p w:rsidR="006F4DAC" w:rsidRDefault="006F4DAC" w:rsidP="006F4DAC"/>
    <w:p w:rsidR="0070181F" w:rsidRDefault="0070181F" w:rsidP="008F585E">
      <w:r>
        <w:t>Paul Smith - Building Control Team Leader</w:t>
      </w:r>
      <w:r w:rsidR="006F4DAC">
        <w:t xml:space="preserve"> - </w:t>
      </w:r>
      <w:hyperlink r:id="rId10" w:history="1">
        <w:r w:rsidRPr="0030219C">
          <w:rPr>
            <w:rStyle w:val="Hyperlink"/>
          </w:rPr>
          <w:t>psmith@oxford.gov.uk</w:t>
        </w:r>
      </w:hyperlink>
      <w:r>
        <w:t xml:space="preserve"> </w:t>
      </w:r>
    </w:p>
    <w:p w:rsidR="006F4DAC" w:rsidRDefault="006F4DAC" w:rsidP="008F585E"/>
    <w:p w:rsidR="006F4DAC" w:rsidRDefault="006F4DAC" w:rsidP="008F585E">
      <w:r>
        <w:t>.</w:t>
      </w:r>
    </w:p>
    <w:sectPr w:rsidR="006F4DA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F8" w:rsidRDefault="00C86FF8" w:rsidP="00B67599">
      <w:r>
        <w:separator/>
      </w:r>
    </w:p>
  </w:endnote>
  <w:endnote w:type="continuationSeparator" w:id="0">
    <w:p w:rsidR="00C86FF8" w:rsidRDefault="00C86FF8" w:rsidP="00B6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31438"/>
      <w:docPartObj>
        <w:docPartGallery w:val="Page Numbers (Bottom of Page)"/>
        <w:docPartUnique/>
      </w:docPartObj>
    </w:sdtPr>
    <w:sdtEndPr>
      <w:rPr>
        <w:noProof/>
      </w:rPr>
    </w:sdtEndPr>
    <w:sdtContent>
      <w:p w:rsidR="00B67599" w:rsidRDefault="00B67599">
        <w:pPr>
          <w:pStyle w:val="Footer"/>
          <w:jc w:val="right"/>
        </w:pPr>
        <w:r>
          <w:fldChar w:fldCharType="begin"/>
        </w:r>
        <w:r>
          <w:instrText xml:space="preserve"> PAGE   \* MERGEFORMAT </w:instrText>
        </w:r>
        <w:r>
          <w:fldChar w:fldCharType="separate"/>
        </w:r>
        <w:r w:rsidR="00804B63">
          <w:rPr>
            <w:noProof/>
          </w:rPr>
          <w:t>1</w:t>
        </w:r>
        <w:r>
          <w:rPr>
            <w:noProof/>
          </w:rPr>
          <w:fldChar w:fldCharType="end"/>
        </w:r>
      </w:p>
    </w:sdtContent>
  </w:sdt>
  <w:p w:rsidR="00B67599" w:rsidRDefault="00B67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F8" w:rsidRDefault="00C86FF8" w:rsidP="00B67599">
      <w:r>
        <w:separator/>
      </w:r>
    </w:p>
  </w:footnote>
  <w:footnote w:type="continuationSeparator" w:id="0">
    <w:p w:rsidR="00C86FF8" w:rsidRDefault="00C86FF8" w:rsidP="00B67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2443C"/>
    <w:multiLevelType w:val="hybridMultilevel"/>
    <w:tmpl w:val="05F27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CE5687"/>
    <w:multiLevelType w:val="hybridMultilevel"/>
    <w:tmpl w:val="ADF64F8E"/>
    <w:lvl w:ilvl="0" w:tplc="5E4C1234">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C283A"/>
    <w:multiLevelType w:val="hybridMultilevel"/>
    <w:tmpl w:val="E20219C4"/>
    <w:lvl w:ilvl="0" w:tplc="08090001">
      <w:start w:val="1"/>
      <w:numFmt w:val="bullet"/>
      <w:lvlText w:val=""/>
      <w:lvlJc w:val="left"/>
      <w:pPr>
        <w:ind w:left="720" w:hanging="360"/>
      </w:pPr>
      <w:rPr>
        <w:rFonts w:ascii="Symbol" w:hAnsi="Symbol" w:hint="default"/>
      </w:rPr>
    </w:lvl>
    <w:lvl w:ilvl="1" w:tplc="4518F942">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606905"/>
    <w:multiLevelType w:val="hybridMultilevel"/>
    <w:tmpl w:val="52B2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B75A77"/>
    <w:multiLevelType w:val="hybridMultilevel"/>
    <w:tmpl w:val="3AA06C26"/>
    <w:lvl w:ilvl="0" w:tplc="0809000F">
      <w:start w:val="1"/>
      <w:numFmt w:val="decimal"/>
      <w:lvlText w:val="%1."/>
      <w:lvlJc w:val="left"/>
      <w:pPr>
        <w:ind w:left="720" w:hanging="360"/>
      </w:pPr>
    </w:lvl>
    <w:lvl w:ilvl="1" w:tplc="4518F942">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830DFD"/>
    <w:multiLevelType w:val="hybridMultilevel"/>
    <w:tmpl w:val="8AFC5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C5"/>
    <w:rsid w:val="0001123A"/>
    <w:rsid w:val="000B4310"/>
    <w:rsid w:val="001A7812"/>
    <w:rsid w:val="001D6130"/>
    <w:rsid w:val="00247656"/>
    <w:rsid w:val="00276B6A"/>
    <w:rsid w:val="00282DF2"/>
    <w:rsid w:val="002A23ED"/>
    <w:rsid w:val="002D17DB"/>
    <w:rsid w:val="003269B4"/>
    <w:rsid w:val="003B6FC4"/>
    <w:rsid w:val="003B738F"/>
    <w:rsid w:val="003D50EE"/>
    <w:rsid w:val="004000D7"/>
    <w:rsid w:val="00447F4D"/>
    <w:rsid w:val="00454337"/>
    <w:rsid w:val="004A4289"/>
    <w:rsid w:val="004B0C13"/>
    <w:rsid w:val="004D7E72"/>
    <w:rsid w:val="00504E43"/>
    <w:rsid w:val="005079C9"/>
    <w:rsid w:val="00542A81"/>
    <w:rsid w:val="005668EA"/>
    <w:rsid w:val="005817FA"/>
    <w:rsid w:val="00594FD8"/>
    <w:rsid w:val="005B016B"/>
    <w:rsid w:val="005C31D8"/>
    <w:rsid w:val="005D2CC5"/>
    <w:rsid w:val="00617095"/>
    <w:rsid w:val="00667F60"/>
    <w:rsid w:val="006774D9"/>
    <w:rsid w:val="006A0E0D"/>
    <w:rsid w:val="006B1006"/>
    <w:rsid w:val="006B45D4"/>
    <w:rsid w:val="006F4DAC"/>
    <w:rsid w:val="006F5FAF"/>
    <w:rsid w:val="0070181F"/>
    <w:rsid w:val="007908F4"/>
    <w:rsid w:val="0079719C"/>
    <w:rsid w:val="007B2DEE"/>
    <w:rsid w:val="00804B63"/>
    <w:rsid w:val="00816072"/>
    <w:rsid w:val="00816F99"/>
    <w:rsid w:val="00845619"/>
    <w:rsid w:val="00845DAA"/>
    <w:rsid w:val="0084622B"/>
    <w:rsid w:val="00870755"/>
    <w:rsid w:val="00877331"/>
    <w:rsid w:val="008A22C6"/>
    <w:rsid w:val="008B7E0A"/>
    <w:rsid w:val="008F1EB4"/>
    <w:rsid w:val="008F585E"/>
    <w:rsid w:val="009450E2"/>
    <w:rsid w:val="00955714"/>
    <w:rsid w:val="00957650"/>
    <w:rsid w:val="009B59D2"/>
    <w:rsid w:val="009B5E51"/>
    <w:rsid w:val="009C2E5D"/>
    <w:rsid w:val="009F24D0"/>
    <w:rsid w:val="00A323F1"/>
    <w:rsid w:val="00AA7D6C"/>
    <w:rsid w:val="00AC3334"/>
    <w:rsid w:val="00AC35D5"/>
    <w:rsid w:val="00AF2372"/>
    <w:rsid w:val="00B67599"/>
    <w:rsid w:val="00BA74D4"/>
    <w:rsid w:val="00BB3B43"/>
    <w:rsid w:val="00BE4FC9"/>
    <w:rsid w:val="00C07F80"/>
    <w:rsid w:val="00C8343E"/>
    <w:rsid w:val="00C86FF8"/>
    <w:rsid w:val="00D13D32"/>
    <w:rsid w:val="00D46D0E"/>
    <w:rsid w:val="00D80F81"/>
    <w:rsid w:val="00DC3B4C"/>
    <w:rsid w:val="00E00CE8"/>
    <w:rsid w:val="00E7590F"/>
    <w:rsid w:val="00EA326F"/>
    <w:rsid w:val="00ED7117"/>
    <w:rsid w:val="00F05A7E"/>
    <w:rsid w:val="00F6631F"/>
    <w:rsid w:val="00FD3A85"/>
    <w:rsid w:val="00FE3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A81"/>
    <w:pPr>
      <w:ind w:left="720"/>
      <w:contextualSpacing/>
    </w:pPr>
  </w:style>
  <w:style w:type="character" w:styleId="Hyperlink">
    <w:name w:val="Hyperlink"/>
    <w:basedOn w:val="DefaultParagraphFont"/>
    <w:uiPriority w:val="99"/>
    <w:unhideWhenUsed/>
    <w:rsid w:val="0070181F"/>
    <w:rPr>
      <w:color w:val="0000FF" w:themeColor="hyperlink"/>
      <w:u w:val="single"/>
    </w:rPr>
  </w:style>
  <w:style w:type="paragraph" w:styleId="Header">
    <w:name w:val="header"/>
    <w:basedOn w:val="Normal"/>
    <w:link w:val="HeaderChar"/>
    <w:uiPriority w:val="99"/>
    <w:unhideWhenUsed/>
    <w:rsid w:val="00B67599"/>
    <w:pPr>
      <w:tabs>
        <w:tab w:val="center" w:pos="4513"/>
        <w:tab w:val="right" w:pos="9026"/>
      </w:tabs>
    </w:pPr>
  </w:style>
  <w:style w:type="character" w:customStyle="1" w:styleId="HeaderChar">
    <w:name w:val="Header Char"/>
    <w:basedOn w:val="DefaultParagraphFont"/>
    <w:link w:val="Header"/>
    <w:uiPriority w:val="99"/>
    <w:rsid w:val="00B67599"/>
  </w:style>
  <w:style w:type="paragraph" w:styleId="Footer">
    <w:name w:val="footer"/>
    <w:basedOn w:val="Normal"/>
    <w:link w:val="FooterChar"/>
    <w:uiPriority w:val="99"/>
    <w:unhideWhenUsed/>
    <w:rsid w:val="00B67599"/>
    <w:pPr>
      <w:tabs>
        <w:tab w:val="center" w:pos="4513"/>
        <w:tab w:val="right" w:pos="9026"/>
      </w:tabs>
    </w:pPr>
  </w:style>
  <w:style w:type="character" w:customStyle="1" w:styleId="FooterChar">
    <w:name w:val="Footer Char"/>
    <w:basedOn w:val="DefaultParagraphFont"/>
    <w:link w:val="Footer"/>
    <w:uiPriority w:val="99"/>
    <w:rsid w:val="00B67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A81"/>
    <w:pPr>
      <w:ind w:left="720"/>
      <w:contextualSpacing/>
    </w:pPr>
  </w:style>
  <w:style w:type="character" w:styleId="Hyperlink">
    <w:name w:val="Hyperlink"/>
    <w:basedOn w:val="DefaultParagraphFont"/>
    <w:uiPriority w:val="99"/>
    <w:unhideWhenUsed/>
    <w:rsid w:val="0070181F"/>
    <w:rPr>
      <w:color w:val="0000FF" w:themeColor="hyperlink"/>
      <w:u w:val="single"/>
    </w:rPr>
  </w:style>
  <w:style w:type="paragraph" w:styleId="Header">
    <w:name w:val="header"/>
    <w:basedOn w:val="Normal"/>
    <w:link w:val="HeaderChar"/>
    <w:uiPriority w:val="99"/>
    <w:unhideWhenUsed/>
    <w:rsid w:val="00B67599"/>
    <w:pPr>
      <w:tabs>
        <w:tab w:val="center" w:pos="4513"/>
        <w:tab w:val="right" w:pos="9026"/>
      </w:tabs>
    </w:pPr>
  </w:style>
  <w:style w:type="character" w:customStyle="1" w:styleId="HeaderChar">
    <w:name w:val="Header Char"/>
    <w:basedOn w:val="DefaultParagraphFont"/>
    <w:link w:val="Header"/>
    <w:uiPriority w:val="99"/>
    <w:rsid w:val="00B67599"/>
  </w:style>
  <w:style w:type="paragraph" w:styleId="Footer">
    <w:name w:val="footer"/>
    <w:basedOn w:val="Normal"/>
    <w:link w:val="FooterChar"/>
    <w:uiPriority w:val="99"/>
    <w:unhideWhenUsed/>
    <w:rsid w:val="00B67599"/>
    <w:pPr>
      <w:tabs>
        <w:tab w:val="center" w:pos="4513"/>
        <w:tab w:val="right" w:pos="9026"/>
      </w:tabs>
    </w:pPr>
  </w:style>
  <w:style w:type="character" w:customStyle="1" w:styleId="FooterChar">
    <w:name w:val="Footer Char"/>
    <w:basedOn w:val="DefaultParagraphFont"/>
    <w:link w:val="Footer"/>
    <w:uiPriority w:val="99"/>
    <w:rsid w:val="00B6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smith@oxford.gov.uk" TargetMode="External"/><Relationship Id="rId4" Type="http://schemas.microsoft.com/office/2007/relationships/stylesWithEffects" Target="stylesWithEffects.xml"/><Relationship Id="rId9" Type="http://schemas.openxmlformats.org/officeDocument/2006/relationships/hyperlink" Target="mailto:iwright@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1DE8F-13C1-494F-AF06-3B4429CA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1BC89C40</Template>
  <TotalTime>9</TotalTime>
  <Pages>5</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iwright</dc:creator>
  <cp:lastModifiedBy>srobinson</cp:lastModifiedBy>
  <cp:revision>6</cp:revision>
  <dcterms:created xsi:type="dcterms:W3CDTF">2019-03-21T16:03:00Z</dcterms:created>
  <dcterms:modified xsi:type="dcterms:W3CDTF">2019-03-29T13:01:00Z</dcterms:modified>
</cp:coreProperties>
</file>